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disentangled_anatomy_anomaly_mri</w:t>
      </w:r>
    </w:p>
    <w:p>
      <w:r>
        <w:t xml:space="preserve"> </w:t>
      </w:r>
    </w:p>
    <w:p>
      <w:pPr>
        <w:pStyle w:val="Heading2"/>
      </w:pPr>
      <w:r>
        <w:t>Title</w:t>
      </w:r>
    </w:p>
    <w:p>
      <w:r>
        <w:t>Unsupervised anomaly detection in brain MRI via disentangled anatomy learning and edge-to-image pseudo‑healthy reconstruction</w:t>
      </w:r>
    </w:p>
    <w:p>
      <w:r>
        <w:t xml:space="preserve"> </w:t>
      </w:r>
    </w:p>
    <w:p>
      <w:pPr>
        <w:pStyle w:val="Heading2"/>
      </w:pPr>
      <w:r>
        <w:t>Short Hypothesis</w:t>
      </w:r>
    </w:p>
    <w:p>
      <w:r>
        <w:t>A reconstruction pipeline that disentangles spatial anatomical factors from imaging-specific factors and reconstructs pseudo-healthy MRIs from edge-derived anatomical representations will increase lesion-wise recall at ≤1 false positive per scan by at least 5 percentage points versus a standard variational autoencoder reconstruction baseline on multi-site brain MRI test sets.</w:t>
      </w:r>
    </w:p>
    <w:p>
      <w:r>
        <w:t xml:space="preserve"> </w:t>
      </w:r>
    </w:p>
    <w:p>
      <w:pPr>
        <w:pStyle w:val="Heading2"/>
      </w:pPr>
      <w:r>
        <w:t>Related Work</w:t>
      </w:r>
    </w:p>
    <w:p>
      <w:r>
        <w:t>Unsupervised anomaly detection in medical imaging commonly uses reconstruction models (autoencoders, variational autoencoders). These models learn a compact latent representation (a small set of numbers that summarizes an image) and flag anomalies by high reconstruction error. Pseudo-healthy synthesis methods try to reconstruct an image without pathology and detect differences, but they often blur small lesions and leak pathology into the latent space. Disentangled representation learning aims to split factors of variation (for example, separating anatomy from imaging contrast); however, prior disentanglement approaches can fail when pathologies corrupt the anatomical factor or when discrete tissue labels are not enforced, causing ambiguity. Edge-based or high-frequency cues have been used for image restoration to preserve structure, but existing pipelines rarely combine explicit anatomy priors, discrete tissue codes, and edge-to-image restoration. Multi-site and multi-modality generalization remain unresolved: scanner-specific textures, registration errors, and inconsistent evaluation protocols cause poor external validity. Evaluation limitations include inconsistent lesion matching rules and lack of stress tests across lesion size/contrast.</w:t>
      </w:r>
    </w:p>
    <w:p>
      <w:r>
        <w:t xml:space="preserve"> </w:t>
      </w:r>
    </w:p>
    <w:p>
      <w:pPr>
        <w:pStyle w:val="Heading2"/>
      </w:pPr>
      <w:r>
        <w:t>Abstract</w:t>
      </w:r>
    </w:p>
    <w:p>
      <w:r>
        <w:t>We address unsupervised detection of brain anomalies in multi-site MRI by separating anatomy from imaging-specific factors and using edge-derived anatomy to reconstruct high-quality pseudo-healthy images. The method learns a spatial anatomy factor that captures tissue layout and a separate imaging factor that captures contrast and scanner effects; a differentiable discrete encoding enforces tissue-like codes. An edge-to-image restoration module reconstructs intensity from high-frequency edge cues and then re-couples imaging factors to suppress residual abnormal signals while preserving fine structure. The main contribution is a two-module reconstruction framework that reduces pathology leakage into anatomy representations and yields sharper pseudo-healthy reconstructions for improved anomaly localization. We expect this approach to improve lesion-wise sensitivity at low false-positive rates across modalities and centers, provide better per-voxel calibration, and offer interpretable anatomy–pathology latents for clinician review. The method is intended to be evaluated with pre-registered metrics, multi-site splits, and neuroradiologist reader studies.</w:t>
      </w:r>
    </w:p>
    <w:p>
      <w:r>
        <w:t xml:space="preserve"> </w:t>
      </w:r>
    </w:p>
    <w:p>
      <w:pPr>
        <w:pStyle w:val="Heading2"/>
      </w:pPr>
      <w:r>
        <w:t>Experiments</w:t>
      </w:r>
    </w:p>
    <w:p>
      <w:r>
        <w:t>Datasets: multi-site collection with at least five centers, each center ≥300 scans (balanced healthy/pathology); modalities: T1, T2, and FLAIR when available. Hold out one site per leave-one-site-out test and one pathology class per leave-one-pathology-out test. Create a separate synthetic stress set (excluded from training) with parameterized lesions (volume 5–5000 mm3, contrast ±[0.1–1.5]× local tissue intensity, blur 0–4 mm). Baselines: (1) vanilla 3D VAE reconstruction (same capacity as anatomy encoder decoder combined), (2) standard 3D autoencoder, (3) pseudo-healthy GAN-style reconstruction baseline, (4) stateful simple anomaly score: reconstruction error + SSIM. Primary metrics: lesion-wise recall at FPPS ≤1 (primary), voxel AUROC (primary). Secondary metrics: AUPRC, Dice and IoU for matched lesions, FP per scan (FPPS) across thresholds, ECE and Brier score for calibration, runtime per scan (s). Splits and pre-registration: nested cross-validation for hyperparameter tuning using only healthy + synthetic tuning sets; all thresholds fixed on held-out healthy controls. Matching rules: predicted lesion matched to ground truth if IoU≥0.25 OR centroid distance ≤10 mm; greedy one-to-one matching. Training and architecture: anatomy encoder: 3D U-Net style spatial encoder producing multi-channel factor maps; imaging encoder: low-dim continuous vector plus discrete tissue code via Gumbel-Softmax (explained as a differentiable way to get one-hot-like codes). Edge-to-image module: decoder conditioned on high-frequency edge maps. Ablations: (A) remove disentanglement penalties, (B) replace discrete tissue code with continuous latent, (C) bypass edge-to-image module (direct decode), (D) replace VAE backend with diffusion backend to test trade-offs. Evaluation protocol: report 95% bootstrap CIs (10,000 resamples) for main metrics, DeLong tests for AUROC comparisons, paired bootstrap for lesion metrics, McNemar for binary detection comparisons. Robustness tests: synthetic stress-grid sensitivity maps across lesion size/contrast/location and artifact perturbations (bias field, noise, downsampling). Reader study: randomized crossover with and without model assistance on ~500 prospective scans containing ≈200 pathology-positive cases; endpoints: per-lesion sensitivity and time-to-detection; tests: paired McNemar for sensitivity, paired Wilcoxon for time; operating thresholds fixed prior to study.</w:t>
      </w:r>
    </w:p>
    <w:p>
      <w:r>
        <w:t xml:space="preserve"> </w:t>
      </w:r>
    </w:p>
    <w:p>
      <w:pPr>
        <w:pStyle w:val="Heading2"/>
      </w:pPr>
      <w:r>
        <w:t>Risk Factors And Limitations</w:t>
      </w:r>
    </w:p>
    <w:p>
      <w:r>
        <w:t>Anatomy–pathology leakage: the anatomical factor may still encode small or subtle pathology, reducing detection. Small or low-contrast lesions: lesions below noise or blurring threshold may remain undetected. Registration and atlas bias: imperfect nonlinear registration or atlas priors derived from limited demographics can introduce systematic errors. Synthetic lesion realism: synthetic cases may not fully capture real lesion heterogeneity, limiting stress-test validity. Evaluation inflation: touching or merged lesions can inflate metrics unless adjudication rules are strict; partial detections challenge matching rules. Multi-site variability: scanner-specific textures and protocols may reduce generalization. Compute and latency: advanced backends (e.g., diffusion models) may exceed clinical inference latency or memory budgets. Data and label bias: uneven lesion type prevalence or demographic imbalance can bias results and subgroup performance. Post-deployment drift: calibration and performance may degrade over time with evolving scanners or protocols.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