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lctfound_diffusion_multimodal</w:t>
      </w:r>
    </w:p>
    <w:p>
      <w:r>
        <w:t xml:space="preserve"> </w:t>
      </w:r>
    </w:p>
    <w:p>
      <w:pPr>
        <w:pStyle w:val="Heading2"/>
      </w:pPr>
      <w:r>
        <w:t>Title</w:t>
      </w:r>
    </w:p>
    <w:p>
      <w:r>
        <w:t>Diffusion-based multimodal pretraining for lung CT lesion detection, segmentation, and reconstruction</w:t>
      </w:r>
    </w:p>
    <w:p>
      <w:r>
        <w:t xml:space="preserve"> </w:t>
      </w:r>
    </w:p>
    <w:p>
      <w:pPr>
        <w:pStyle w:val="Heading2"/>
      </w:pPr>
      <w:r>
        <w:t>Short Hypothesis</w:t>
      </w:r>
    </w:p>
    <w:p>
      <w:r>
        <w:t>Pretraining a 3D lung CT foundation model using diffusion-based self-supervision combined with joint clinical metadata encoding increases lesion-level detection sensitivity by at least 5 percentage points at 1 false positive per scan after fine-tuning, compared to the same model pretrained without diffusion or without metadata encoding.</w:t>
      </w:r>
    </w:p>
    <w:p>
      <w:r>
        <w:t xml:space="preserve"> </w:t>
      </w:r>
    </w:p>
    <w:p>
      <w:pPr>
        <w:pStyle w:val="Heading2"/>
      </w:pPr>
      <w:r>
        <w:t>Related Work</w:t>
      </w:r>
    </w:p>
    <w:p>
      <w:r>
        <w:t>Prior work includes self-supervised methods for medical images such as masked autoencoding (learning to reconstruct missing image parts) and contrastive learning (learning similar/dissimilar pairs), classical supervised 3D convolutional networks and U-Net variants for segmentation, and nnU-Net as a strong automated baseline. Generative approaches using diffusion models (models trained to remove added noise) have shown strong image synthesis and representation learning in natural images, but have been less evaluated for 3D chest CT. Multimodal models that combine imaging with clinical metadata exist in concept, but they are often limited to 2D slices, single centers, or small labeled sets. Reconstruction and virtual angiography work (sparse-view reconstruction, CTA synthesis) typically use physics-based or supervised deep learning but rely on paired projection data and limited vendor diversity. Limitations across these lines include (1) heavy reliance on labeled data, (2) limited generative pretraining for 3D CT, (3) weak handling of vendor/protocol heterogeneity, (4) sparse evaluation on external multi-site holdouts, and (5) limited privacy-aware training (DP/federated) evaluations in clinically realistic settings.</w:t>
      </w:r>
    </w:p>
    <w:p>
      <w:r>
        <w:t xml:space="preserve"> </w:t>
      </w:r>
    </w:p>
    <w:p>
      <w:pPr>
        <w:pStyle w:val="Heading2"/>
      </w:pPr>
      <w:r>
        <w:t>Abstract</w:t>
      </w:r>
    </w:p>
    <w:p>
      <w:r>
        <w:t>We propose a lung CT foundation model pretrained with diffusion-based self-supervision and joint clinical metadata encoding to enable multiple downstream tasks including nodule detection, pixel-level segmentation, CT enhancement, virtual CTA, and sparse-view reconstruction. Diffusion-based self-supervision (a generative method where the model learns to denoise progressively noised images) provides dense volumetric pretraining on large unlabeled multi-site CT corpora, while joint encoding integrates exam-level clinical metadata (age, smoking, protocol) to condition representations. The main contribution is a single hybrid 3D convolutional–transformer backbone that, after task-specific fine-tuning, yields improved detection sensitivity and reconstruction fidelity with reduced labeled-data requirements. Expected outcomes are measurable gains in lesion detection sensitivity and segmentation accuracy, improved harmonization across scanner vendors and protocols, and demonstration of privacy-aware training (federated learning with differential privacy) without catastrophic loss of clinical utility. The model is designed for regulatory-style evaluation with external holdouts, phantom benchmarks, and predefined clinical endpoints.</w:t>
      </w:r>
    </w:p>
    <w:p>
      <w:r>
        <w:t xml:space="preserve"> </w:t>
      </w:r>
    </w:p>
    <w:p>
      <w:pPr>
        <w:pStyle w:val="Heading2"/>
      </w:pPr>
      <w:r>
        <w:t>Experiments</w:t>
      </w:r>
    </w:p>
    <w:p>
      <w:r>
        <w:t>Datasets and splits:</w:t>
        <w:br/>
        <w:t>1) Pretraining corpus: 100,000–300,000 unlabelled chest CT exams aggregated across 15–30 sites (multi-vendor, multi-protocol). 2) Core annotated dataset: 40,000–60,000 exams with pixel/lesion/exam labels, including 20,000–30,000 confirmed nodules and 8,000–12,000 ILD cases. 3) External holdouts: 3–5 geographically distinct sites withheld from development, &gt;=1,000 exams per site. 4) Phantom paired-reconstructions: anthropomorphic chest phantom scans with inserts 3/5/8/10 mm at doses 10/30/60 mAs and multiple kernels.</w:t>
        <w:br/>
        <w:t>Baselines:</w:t>
        <w:br/>
        <w:t>A) Same architecture trained from scratch. B) Same architecture pretrained with masked autoencoding (no diffusion). C) Pretrained diffusion model without metadata conditioning. D) Classical baselines: nnU-Net / 3D-UNet for segmentation; Lung-RADS rule-based outputs. E) Radiologist-alone performance in multi-reader study.</w:t>
        <w:br/>
        <w:t>Metrics:</w:t>
        <w:br/>
        <w:t>- Lesion detection: per-lesion sensitivity at fixed 1 FP/scan, FROC curves, JAFROC for localization (JAFROC = a localization-aware ROC method). - Segmentation: Dice coefficient, absolute volumetric error, and Hausdorff distance. - Reconstruction/enhancement: SSIM, PSNR, MTF50 (spatial resolution measure), NPS cosine similarity (noise texture), and nodule volumetric bias. - Exam-level: AUC for urgent triage, Brier score and calibration slope. - Operational: inference latency (s/series), throughput (studies/hour/GPU). - Privacy impact: metric deltas under DP (ε = 2, 4, 8) and membership-inference attack success rates.</w:t>
        <w:br/>
        <w:t>Experimental setup:</w:t>
        <w:br/>
        <w:t>- Model: hybrid 3D conv–Transformer backbone with diffusion-based denoising pretraining (denoising diffusion probabilistic model), joint image+metadata encoder, and multi-head task-specific decoders. - Pretraining: train denoising diffusion objective on pretraining corpus for representation learning; store checkpoints for fine-tuning. - Fine-tuning: multi-task heads trained on labeled core dataset; use weighted losses to handle missing labels. - Cross-validation: site-stratified splits and k-fold CV for internal tuning; final evaluation on external holdouts. - Multi-reader study: paired-reader randomized crossover with 12 thoracic radiologists, target ~2,000–3,000 positive lesions and 10,000–15,000 scans to test primary endpoint. - Statistical analysis: mixed-effects logistic regression for detection with random intercepts for reader and site; McNemar for paired detection; DeLong for AUC; bootstrap CIs for FROC. - Ablations: (1) remove diffusion pretraining; (2) remove metadata conditioning; (3) remove physics-informed augmentations; (4) harmonizer off vs on; (5) DP ablation across ε = 2,4,8 and clipping norms 1–5 to measure utility loss. - Harmonizer evaluation: train kernel-mapper on paired reconstructions; report SSIM delta, MTF50 deviation, NPS cosine similarity, and volumetric bias on phantom and patient paired sets.</w:t>
        <w:br/>
        <w:t>Reproducibility:</w:t>
        <w:br/>
        <w:t>- Provide fixed random seeds, container images, and deterministic evaluation splits; publish analysis code/templates for mixed-effects and JAFROC computations.</w:t>
      </w:r>
    </w:p>
    <w:p>
      <w:r>
        <w:t xml:space="preserve"> </w:t>
      </w:r>
    </w:p>
    <w:p>
      <w:pPr>
        <w:pStyle w:val="Heading2"/>
      </w:pPr>
      <w:r>
        <w:t>Risk Factors And Limitations</w:t>
      </w:r>
    </w:p>
    <w:p>
      <w:r>
        <w:t>1) Privacy-utility tradeoff: differential privacy (DP) may reduce clinical metrics; acceptable ε values must be empirically chosen. 2) Annotation quality: inter-reader variability and inconsistent labeling protocols can bias training and evaluation. 3) Domain shift: unseen vendors, novel kernels, or new protocols may degrade performance; generalization limits exist. 4) Failure modes: small nodules (&lt;6 mm), strong motion artifacts, metal streaks, and post-contrast phases may cause misses or false positives. 5) Compute and storage: pretraining large 3D models requires substantial GPU hours and storage, limiting reproducibility for resource-constrained teams. 6) Scalability of federated training: secure aggregation and provenance increase complexity and wall-clock time. 7) Statistical complexity: handling multiple lesions per scan, reader/site clustering, and JAFROC adjustments requires careful implementation; mis-specification risks invalid inference. 8) Regulatory and clinical impact: improved technical metrics may not directly translate to changed patient outcomes or workflow benefits without prospective trials.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