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remote_personalized_nutrition_rct</w:t>
      </w:r>
    </w:p>
    <w:p>
      <w:r>
        <w:t xml:space="preserve"> </w:t>
      </w:r>
    </w:p>
    <w:p>
      <w:pPr>
        <w:pStyle w:val="Heading2"/>
      </w:pPr>
      <w:r>
        <w:t>Title</w:t>
      </w:r>
    </w:p>
    <w:p>
      <w:r>
        <w:t>A fully remote randomized controlled trial comparing personalized versus generic digital nutrition advice using self-collected anthropometrics in adults with overweight or obesity</w:t>
      </w:r>
    </w:p>
    <w:p>
      <w:r>
        <w:t xml:space="preserve"> </w:t>
      </w:r>
    </w:p>
    <w:p>
      <w:pPr>
        <w:pStyle w:val="Heading2"/>
      </w:pPr>
      <w:r>
        <w:t>Short Hypothesis</w:t>
      </w:r>
    </w:p>
    <w:p>
      <w:r>
        <w:t>Assignment to a fully remote personalized nutrition program (with or without personalized food boxes) causes greater mean percent weight loss at 12 months than assignment to remotely delivered generic nutrition advice.</w:t>
      </w:r>
    </w:p>
    <w:p>
      <w:r>
        <w:t xml:space="preserve"> </w:t>
      </w:r>
    </w:p>
    <w:p>
      <w:pPr>
        <w:pStyle w:val="Heading2"/>
      </w:pPr>
      <w:r>
        <w:t>Related Work</w:t>
      </w:r>
    </w:p>
    <w:p>
      <w:r>
        <w:t>Remote digital nutrition interventions have shown promising weight loss in adults with obesity, especially when advice is tailored to the individual. Prior approaches include automated personalized plans, coach-supported apps, and occasional provision of food or meal replacements. Limitations of existing work are: many trials hybridized in‑person and remote measures rather than fully remote; small validation samples for home weight or body‑composition devices; inconsistent prespecification of estimands (the exact treatment effect targeted) and missing‑data sensitivity; limited evaluation of do‑it‑yourself anthropometrics (self-measured waist and weight) for longitudinal detection of change; few randomized comparisons of personalized advice with versus without food provision; and sparse operational details on adherence, coach fidelity, and SaMD (software as a medical device) classification. These gaps reduce reproducibility and regulatory readiness for fully remote nutrition trials.</w:t>
      </w:r>
    </w:p>
    <w:p>
      <w:r>
        <w:t xml:space="preserve"> </w:t>
      </w:r>
    </w:p>
    <w:p>
      <w:pPr>
        <w:pStyle w:val="Heading2"/>
      </w:pPr>
      <w:r>
        <w:t>Abstract</w:t>
      </w:r>
    </w:p>
    <w:p>
      <w:r>
        <w:t>We propose a fully remote, three-arm randomized controlled trial to evaluate whether personalized digital nutrition advice, with or without personalized food boxes, produces greater weight loss than generic digital advice in adults with overweight or obesity. The study's primary focus is feasibility: can adults self-collect valid anthropometric and dietary data at home and report their experience? Secondarily, the trial will test whether self-collected data detect meaningful body changes and whether personalization or food provisioning improves outcomes. The method combines a digital coaching platform, algorithmic personalization of energy and macronutrient targets, and remote biospecimen and device validation. Main contributions are: (1) operationalizing a fully remote protocol with prespecified estimands and blinded internal sample‑size re‑estimation, (2) validating home measurement devices against clinic standards, and (3) comparing personalized versus generic advice and the incremental effect of food boxes. Expected outcomes include evidence on feasibility of self-measurement, effect size estimates for remote personalization, and reproducible procedures for future regulatory-ready remote nutrition trials.</w:t>
      </w:r>
    </w:p>
    <w:p>
      <w:r>
        <w:t xml:space="preserve"> </w:t>
      </w:r>
    </w:p>
    <w:p>
      <w:pPr>
        <w:pStyle w:val="Heading2"/>
      </w:pPr>
      <w:r>
        <w:t>Experiments</w:t>
      </w:r>
    </w:p>
    <w:p>
      <w:r>
        <w:t>Dataset: randomized sample target N up to 450 adults age 18–65 with BMI 27–45 kg/m2, stratified by BMI category (27–34.9, 35–45) and diabetes status. Arms: (A) generic digital nutrition advice, (B) personalized digital nutrition advice, (C) personalized advice plus monthly personalized food boxes. Device validation subset: n≈50–60 participants across BMI strata with paired clinic and home measures. Collected measures: baseline and repeated self-collected weight (cellular scale), waist circumference, home bioimpedance fat%, meal logs, step/activity, monthly SCOFF (eating-disorder screen), labs (HbA1c or LDL) via home phlebotomy or DBS. Baselines for comparison: clinic-calibrated scale weights and clinic BIA/DEXA subset. Primary outcome: mean percent change in body weight at 12 months. Secondary outcomes: proportion achieving ≥5% and ≥10% weight loss, waist circumference change, cardiometabolic marker change, adherence index. Device agreement metrics: Bland–Altman mean bias (in kg) and 95% limits of agreement, intraclass correlation coefficient (ICC). Statistical analysis: primary ITT (treatment‑policy) contrast estimated by constrained longitudinal data analysis (cLDA/MMRM; mixed model for repeated measures) with covariates and coach clustering (coach as random effect if many coaches, otherwise fixed). Binary endpoints analyzed with modified Poisson regression (robust SEs). Missing data: primary MAR via MMRM; supportive multiple imputation (chained equations); MNAR sensitivity via delta‑adjustment grid (0 to −3.0% shifts in 0.25% steps). Experimental comparisons/ablations: (1) arm B vs A and C vs B to isolate personalization and food-box effects; (2) per‑protocol (participants meeting prespecified adherence thresholds) vs ITT to assess adherence impact; (3) device‑validation exclusion ablation removing participants whose home devices exceed bias/ICC thresholds; (4) coach‑interaction ablation comparing participants with high vs low coaching fidelity. Evaluation metrics: mean difference (95% CI), p-values, responder risk ratios, Bland–Altman bias and limits, ICC with 95% CI, adherence rates, and tipping points from MNAR grid. Procedural checks: blinded internal sample‑size re‑estimation at ~50% 6‑month data using pooled SD to update enrollment within cap.</w:t>
      </w:r>
    </w:p>
    <w:p>
      <w:r>
        <w:t xml:space="preserve"> </w:t>
      </w:r>
    </w:p>
    <w:p>
      <w:pPr>
        <w:pStyle w:val="Heading2"/>
      </w:pPr>
      <w:r>
        <w:t>Risk Factors And Limitations</w:t>
      </w:r>
    </w:p>
    <w:p>
      <w:r>
        <w:t>Technical measurement error: home scales or bioimpedance devices may have systematic bias or drift causing inaccurate weight or fat% trends. Device failure modes: connectivity loss, missing uploads, or device replacement causing inconsistent time series. Data bias: sample may not generalize beyond BMI 27–45, age range, or those with digital access. Missing data: nonrandom dropout (missing not at random) could bias estimates despite sensitivity analyses. Clustering: coach effects (variance between coaches) can reduce effective sample size if ICC&gt;0.01–0.05. Regulatory/technical classification: app personalization algorithms may qualify as SaMD, requiring additional regulatory work. Privacy and consent limits: participants may refuse data sharing, limiting de‑identified dataset completeness. Operational: reliance on third‑party vendors for phlebotomy, labs, and food boxes may introduce SLA risks. Statistical limits: small device‑validation subset restricts precision for device bias estimates. Computational: modest but nontrivial resources needed for repeated imputation, mixed models, and mediation analyses. Generalization: results may not extend to populations with BMI outside the specified range, younger/older ages, or low digital literacy.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