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gbs_chrom_spec_poct</w:t>
      </w:r>
    </w:p>
    <w:p>
      <w:r>
        <w:t xml:space="preserve"> </w:t>
      </w:r>
    </w:p>
    <w:p>
      <w:pPr>
        <w:pStyle w:val="Heading2"/>
      </w:pPr>
      <w:r>
        <w:t>Title</w:t>
      </w:r>
    </w:p>
    <w:p>
      <w:r>
        <w:t>Absorption spectroscopy measurement of chromogenic culture pigment for rapid point-of-care identification of Group B Streptococcus colonization in pregnant women</w:t>
      </w:r>
    </w:p>
    <w:p>
      <w:r>
        <w:t xml:space="preserve"> </w:t>
      </w:r>
    </w:p>
    <w:p>
      <w:pPr>
        <w:pStyle w:val="Heading2"/>
      </w:pPr>
      <w:r>
        <w:t>Short Hypothesis</w:t>
      </w:r>
    </w:p>
    <w:p>
      <w:r>
        <w:t>Within 60 minutes of plating a vaginal-rectal swab onto chromogenic culture media, specific absorption spectroscopy of the media pigment will produce a quantitative signal that discriminates GBS colonization at ≥1×10^3 CFU/swab with sensitivity ≥95% and specificity ≥95% versus a composite reference standard.</w:t>
      </w:r>
    </w:p>
    <w:p>
      <w:r>
        <w:t xml:space="preserve"> </w:t>
      </w:r>
    </w:p>
    <w:p>
      <w:pPr>
        <w:pStyle w:val="Heading2"/>
      </w:pPr>
      <w:r>
        <w:t>Related Work</w:t>
      </w:r>
    </w:p>
    <w:p>
      <w:r>
        <w:t>Existing rapid GBS approaches include laboratory enrichment culture with chromogenic agar (visual color readouts), mass-spectrometry identification of cultured colonies (MALDI-TOF), and molecular point-of-care tests using isothermal amplification (RPA, LAMP) or PCR. Limitations: enrichment culture is sensitive but slow (hours to days) and visual chromogenic reads are qualitative and operator-dependent; MALDI-TOF requires colony growth and centralized labs; NAATs are rapid but need molecular reagents, contamination controls, and per-test cost and infrastructure that can limit use at bedside. Portable microfluidic platforms aim to accelerate detection but often remain complex to manufacture or require cold-chain reagents. Prior optical or colorimetric attempts to quantify bacterial growth on media are limited by low signal early after plating and interference from specimen matrices (blood, mucus) causing false signals. Thus, a gap remains for a low-cost, instrumented method that quantitatively reads early chromogenic pigment without full culture enrichment.</w:t>
      </w:r>
    </w:p>
    <w:p>
      <w:r>
        <w:t xml:space="preserve"> </w:t>
      </w:r>
    </w:p>
    <w:p>
      <w:pPr>
        <w:pStyle w:val="Heading2"/>
      </w:pPr>
      <w:r>
        <w:t>Abstract</w:t>
      </w:r>
    </w:p>
    <w:p>
      <w:r>
        <w:t>Group B Streptococcus (GBS) colonization screening in pregnant women requires rapid, accurate tests to guide intrapartum antibiotic decisions. We propose a point-of-care approach that quantifies chromogenic culture pigment using specific absorption spectroscopy (measuring light absorbed by pigment and converting it to an electrical signal) to estimate GBS load directly from plated swabs. The main contribution is a calibrated spectroscopy-to-concentration variable that maps pigment absorbance to colony-forming units per swab (CFU/swab), enabling a binary colonization call at a pre-specified threshold (≥1×10^3 CFU/swab) within an intrapartum timeframe (≤60 minutes). Expected outcomes are: analytic limit-of-detection at or below 1×10^3 CFU/swab, high concordance with a composite laboratory reference (enrichment culture + NAAT/WGS), and demonstration of utility in clinical swabs. If validated, the method could offer a low-cost, rapid adjunct to existing workflows by providing quantitative, instrumented readouts of chromogenic media without full overnight enrichment.</w:t>
      </w:r>
    </w:p>
    <w:p>
      <w:r>
        <w:t xml:space="preserve"> </w:t>
      </w:r>
    </w:p>
    <w:p>
      <w:pPr>
        <w:pStyle w:val="Heading2"/>
      </w:pPr>
      <w:r>
        <w:t>Experiments</w:t>
      </w:r>
    </w:p>
    <w:p>
      <w:r>
        <w:t>Datasets: 1) Contrived panels: sterile vaginal-rectal swabs inoculated with GBS ATCC/reference strains and clinical isolates at 10^1, 10^2, 10^3, 10^4, 10^5 CFU/swab (n=20 replicates per level); include negative controls and near-neighbor bacteria (S. dysgalactiae, S. pyogenes, Enterococcus spp.). 2) Clinical cohort: prospective paired-swab study across 3 sites, N=750 pregnant participants (expected ~150 GBS positives) with one swab for index spectroscopy method and one for composite reference (enrichment culture + central NAAT; WGS for discrepants). Baselines: visual chromogenic read by trained technologist, standard enrichment culture + MALDI-TOF, and central duplex NAAT (cfb + cps). Experimental variables and ablations: incubation duration before read (15, 30, 60, 120 minutes); with vs without brief chemical/mechanical lysis pre-treatment on swab; sensor types (single-wavelength photodiode vs multi-wavelength spectrometer); signal processing methods (simple absorbance vs multivariate regression and machine-learning calibration). Evaluation metrics: 95% LOD (level with ≥95% detection), sensitivity/specificity with 95% CI against composite reference, ROC AUC, NPV/PPV at prevalence 5%, 10%, 20%, Pearson correlation (R^2) between spectroscopy-derived concentration and plated CFU, coefficient of variation (CV) for intra- and inter-assay reproducibility, false-positive carryover rate in contamination challenge (60 negative runs adjacent to high-titer positives). Experimental setup: blinded testing, randomized order of reads, predefined acceptance thresholds (sensitivity and specificity ≥95%), statistical tests two-sided with alpha=0.05, calibration set (50% of contrived data) and independent test set (remaining contrived + clinical data).</w:t>
      </w:r>
    </w:p>
    <w:p>
      <w:r>
        <w:t xml:space="preserve"> </w:t>
      </w:r>
    </w:p>
    <w:p>
      <w:pPr>
        <w:pStyle w:val="Heading2"/>
      </w:pPr>
      <w:r>
        <w:t>Risk Factors And Limitations</w:t>
      </w:r>
    </w:p>
    <w:p>
      <w:r>
        <w:t>Pigment specificity: other bacteria or specimen components (blood, mucus) may produce or modify chromogenic color, causing false positives or altered absorbance. Low-signal early read: pigment may be below detection at short incubation for some strains, producing false negatives at the target threshold. Strain variability: some GBS lineages may produce different pigment intensity per CFU, limiting generalization. Specimen application variability: inconsistent swab deposition or moisture can alter optical path and signal. Environmental and lot effects: media batch differences, ambient lighting, or temperature can shift absorbance. Interference from intrapartum antibiotics or topical agents may suppress pigment production independent of viable count. Mixed infections: minority variant GBS in mixed flora may be below spectroscopy detection even if clinically relevant. Device and maintenance constraints: optical sensors require calibration and protection from dust/fluids; power/connectivity limits in low-resource settings may reduce uptime. Regulatory and clinical adoption: demonstrating non-inferiority to accepted composite reference and achieving clinical workflow integration within intrapartum time constraints may be challenging.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