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pb_sn_te_provenance_southern_africa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Integrating lead and tin isotope ratios with trace-element fingerprints to identify tin sources in southern African bronzes, ca. 1200–1800 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If archaeological bronzes contain tin derived from distinct ore districts, then combining lead (Pb) and tin (Sn) isotope ratios with trace-element fingerprints will assign those bronzes to their correct ore district with posterior probability greater than 0.8 in a joint Bayesian model.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provenance studies generally use single proxies (Pb isotopes, Sn isotopes, or trace elements) or simple pairwise comparisons. Pb-only approaches give high precision but can conflate ores with similar Pb signatures or be biased by added lead. Trace-element fingerprinting can detect metallurgical processes and impurities but is sensitive to recycling and corrosion. Sn isotope work is recent and promising but lacks widely adopted standards, inter-lab harmonization, and experimental constraints on fractionation during smelting and recycling. Multivariate statistical approaches have been applied but often do not propagate full analytical and process uncertainties or lack well-sampled ore baselines. Current limitations therefore include incomplete ore baselines, inconsistent lab protocols and standards, poor control of fractionation/recycling effects, and insufficient reproducible Bayesian frameworks that jointly model all proxies and their uncertainties.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locating the geological sources of tin used in southern African bronzes dated 1200–1800 CE by jointly using lead isotopes, tin isotopes, and trace-element chemistry. We propose a reproducible pipeline that (1) builds a georeferenced ore baseline of cassiterite and associated lead minerals, (2) acquires Pb isotope ratios (high-precision, e.g., TIMS/MC-ICP-MS), Sn isotope δ-values (MC-ICP-MS), and spatially resolved plus bulk trace elements (LA-ICP-MS and solution ICP-MS) on matched aliquots, and (3) runs a hierarchical Bayesian mixing and classification model that propagates analytical and process uncertainties. The main contribution is a validated, multi-proxy attribution method that uses experimental smelting/recycling data to inform fractionation priors and a round-robin certified-standards program to ensure inter-lab comparability. Expected outcomes are probabilistic source attributions for 153 archaeological samples, quantified uncertainty on assignments, and an open dataset and codebase for reproducible provenance studies in archaeometallurgy.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Archaeological set: 153 tin and bronze objects from southern Africa (cores, ingots, production debris). (B) Ore baseline: sample 8 target ore districts; collect 30 ore samples per district (240 total) including cassiterite, galena and host rocks; record geospatial metadata fields: sampleID, latitude, longitude, elevation, geological unit, mineral type, sample depth, collector, date. (C) Controls: 20 synthetic alloys and 30 experimentally produced metals from factorial smelting. Analytical methods: Pb isotopes by TIMS/MC-ICP-MS (206/204, 207/204, 208/204), Sn isotopes by MC-ICP-MS (δ118Sn, δ120Sn; 'δ' = permil deviation), trace elements by LA-ICP-MS (spatial mapping) and solution ICP-MS (bulk concentrations). Baselines: four comparator baselines: Pb-only, Sn-only, trace-only, and naive combined (unweighted). Round-robin: 8 labs, each analyses same blind set of 12 standards and 12 unknowns; acceptance if inter-lab mean RSD ≤0.02% for Pb ratios and ≤0.10‰ for Sn δ-values. Experimental design: fractional factorial smelts varying temperature (700, 900, 1100°C), reductant (charcoal; charcoal+coal), Pb addition (0, 0.5 wt%, 2 wt% galena), and remelts (0,1,3); n=5 replicates per cell. Power analysis examples: to detect Pb shifts of 200 ppm (0.0002) with σ=100 ppm requires n≈4 per group (calculations use two-sided t-test: n ≈ ((1.96+0.84)^2 * 2σ^2)/δ^2), hence n=5 chosen. To detect Sn fractionation of 0.10‰ with σ=0.05‰ needs n≈4, so n=5 used. Evaluation metrics: assignment accuracy (top-1), posterior calibration (Brier score), mean log predictive density, credible interval coverage, confusion matrices, and mixture recovery error for synthetic mixes (RMSE of reconstructed proportions). Cross-validation and validation: 5-fold cross-validation on archaeological set + ore baseline; k-fold including known-provenance controls; synthetic mixing tests with known proportions (10–90% mixes). Ablation studies: (1) full model vs drop Sn isotopes, (2) full vs drop trace elements, (3) full vs no experimental-informed fractionation priors. Statistical procedures: hierarchical Bayesian model with priors from ore baseline and experimental fractionation; missing data handled with model-based imputation; diagnostics include posterior predictive checks, effective sample size, R-hat, and sensitivity to priors. Reporting: publish raw data, metadata CSV/JSON, model code, and container image (Docker) with unit tests for QC thresholds (blank fraction, recovery, within-run precision).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low sample mass preventing high-precision TIMS or MC-ICP-MS runs; LA-ICP-MS matrix effects causing biased trace-element signals; unresolved isobaric interferences (e.g., 204Hg on 204Pb, 120Te on 120Sn) producing incorrect corrections if blanks are high. Data biases: ore baseline may not capture all source heterogeneity or undiscovered ore deposits, causing misassignment. Process masking: extensive recycling or deliberate alloying can mix signatures so that source-specific signals fall below detection; diagenetic corrosion can alter trace elements. Inter-lab variability: inconsistent chemistry or standards can introduce systematic offsets. Modeling limits: non-identifiability when multiple sources have overlapping multi-proxy signatures; sensitivity to prior choices if baseline sampling is sparse. Practical constraints: permitting and ethical limits on destructive sampling may reduce usable sample mass; budget and lab throughput can constrain replication and round-robin scope. Scalability: high-precision isotope runs and LA mapping are time- and cost-intensive, limiting analysis rate. Generalization: results apply to sampled districts and periods; transfer to other regions or time intervals requires new baselines and checks.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