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composite_bow_reassessment</w:t>
      </w:r>
    </w:p>
    <w:p>
      <w:r>
        <w:t xml:space="preserve"> </w:t>
      </w:r>
    </w:p>
    <w:p>
      <w:pPr>
        <w:pStyle w:val="Heading2"/>
      </w:pPr>
      <w:r>
        <w:t>Title</w:t>
      </w:r>
    </w:p>
    <w:p>
      <w:r>
        <w:t>Integrating iconographic, material, biomolecular, experimental, and spatial analyses to reassess the origin and spread of full composite bows in ancient Eurasia</w:t>
      </w:r>
    </w:p>
    <w:p>
      <w:r>
        <w:t xml:space="preserve"> </w:t>
      </w:r>
    </w:p>
    <w:p>
      <w:pPr>
        <w:pStyle w:val="Heading2"/>
      </w:pPr>
      <w:r>
        <w:t>Short Hypothesis</w:t>
      </w:r>
    </w:p>
    <w:p>
      <w:r>
        <w:t>Full composite bows (horn + wood + sinew + proteinaceous adhesive) were first manufactured in Near Eastern region N between 1400 and 1000 cal BCE and were transmitted to the Eurasian steppe via Corridor C, leaving measurable, coeval material signatures in steppe contexts by 1000–800 cal BCE.</w:t>
      </w:r>
    </w:p>
    <w:p>
      <w:r>
        <w:t xml:space="preserve"> </w:t>
      </w:r>
    </w:p>
    <w:p>
      <w:pPr>
        <w:pStyle w:val="Heading2"/>
      </w:pPr>
      <w:r>
        <w:t>Related Work</w:t>
      </w:r>
    </w:p>
    <w:p>
      <w:r>
        <w:t>Prior work combines iconography (pictures and carvings), isolated material finds, biomechanical experiments, and a limited set of biomolecular or imaging analyses to argue for composite-bow advantages and early spread. Existing approaches are limited by: inconsistent definitions of "composite" (different studies count different parts), reliance on single lines of evidence (e.g., only imagery or only one chemical test), small or biased sample sets, weak or non‑replicated radiocarbon dating, and little attention to preservation bias (taphonomy, meaning the study of decay and survival). Few studies use explicit, falsifiable decision rules, inter‑lab replication, or combined spatial–chronological modeling, so claims about origin and diffusion remain underdetermined.</w:t>
      </w:r>
    </w:p>
    <w:p>
      <w:r>
        <w:t xml:space="preserve"> </w:t>
      </w:r>
    </w:p>
    <w:p>
      <w:pPr>
        <w:pStyle w:val="Heading2"/>
      </w:pPr>
      <w:r>
        <w:t>Abstract</w:t>
      </w:r>
    </w:p>
    <w:p>
      <w:r>
        <w:t>This project addresses whether full composite bows (horn, wood core, sinew backing, and protein adhesive) first arose in a specific Near Eastern Late Bronze Age span and then spread into the Eurasian steppe. We propose to test this using a reproducible, multi-domain protocol that requires convergent evidence from imaging (micro-CT/SEM), proteomics (protein identification), adhesive chemistry (GC‑MS/FTIR), and paired radiocarbon dates on discrete components. The main contribution is a preregistered, decision-rule framework and staged sampling plan that combines biomolecular authentication, mechanical replication, taphonomy experiments (to model preservation), and spatial diffusion modeling. Expected outcomes are: (1) clear object-level classifications (manufactured composite, functional candidate, repair/ambiguous), (2) quantified evidence for or against a Near Eastern origin and Corridor C transmission, and (3) an open dataset with protocols, inter‑lab replication, and Bayesian chronological models that make inferences testable and reproducible.</w:t>
      </w:r>
    </w:p>
    <w:p>
      <w:r>
        <w:t xml:space="preserve"> </w:t>
      </w:r>
    </w:p>
    <w:p>
      <w:pPr>
        <w:pStyle w:val="Heading2"/>
      </w:pPr>
      <w:r>
        <w:t>Experiments</w:t>
      </w:r>
    </w:p>
    <w:p>
      <w:r>
        <w:t>Datasets: Year‑1 pilot: 30 well-dated Late Bronze Age Near Eastern candidate objects; full campaign: 25–35 candidate objects per macro-region (Near East, Western Steppe, Central Steppe, Altai/Siberia, East Asia) with anchor sites (e.g., Pazyryk, Aldy‑Bel, Sintashta). For each object collect: micro‑CT/SEM imaging, LC‑MS/MS proteomics (proteins), GC‑MS/FTIR adhesive chemistry, and paired AMS dates on two discrete organic components. Baselines: imaging-only classification, proteomics-only classification, adhesive-only classification, AMS-only chronology, and experimental self-bow mechanical baseline. Evaluation metrics: evidence convergence count (number of independent lines 0–4), binary manufactured/composite label precision and recall, proteomics peptide-level FDR (false discovery rate), collagen yield (% dry weight), AMS acceptance rate, coevality posterior probability (Bayesian overlap), mechanical metrics: draw weight curve, stored elastic energy, shot velocity (m/s), and cyclic fatigue life (cycles to failure). Experimental setup: require LC‑MS/MS peptide FDR ≤1% and ≥2 unique peptides for taxon calls; require paired AMS dates and model coevality in OxCal using IntCal20 with alternative coeval windows (0–30, 0–50, 0–100 yr). Inter-lab replication: blind splits for ≥15% of samples for proteomics, GC‑MS, and AMS. Taphonomy experiments: controlled burial/permafrost/wet trials with n=30 experimental bundles per regime sampled over time series. Ablation studies: (A) full 4-domain pipeline vs. leave-one-domain-out (remove imaging, proteomics, adhesive, or AMS) and (B) compare decision-rule thresholds for coevality (0.9 posterior at 30/50/100 yr). Report all raw spectra, imaging stacks, AMS files, and mechanical time series in open repository.</w:t>
      </w:r>
    </w:p>
    <w:p>
      <w:r>
        <w:t xml:space="preserve"> </w:t>
      </w:r>
    </w:p>
    <w:p>
      <w:pPr>
        <w:pStyle w:val="Heading2"/>
      </w:pPr>
      <w:r>
        <w:t>Risk Factors And Limitations</w:t>
      </w:r>
    </w:p>
    <w:p>
      <w:r>
        <w:t>Technical failures: poor protein survival (proteomics yields too low), adhesive yields below CSRA thresholds, or micro-CT resolution inadequate for lamination detection. Dating issues: old-carbon (bitumen/resin) offsets or non-coeval paired components producing ambiguous models. Data bias: uneven preservation across regions (taphonomy) causing sampling bias; museum or permit refusals reducing sample size. Contamination: conservation glues or modern handling introducing false positives (must be distinguishable). Statistical limits: assumed independence among evidence lines may be false (e.g., proteomic survival correlates with adhesive survival), reducing effective power. Generalization limits: negative results do not prove absence of manufacture elsewhere; small regional sample sizes limit regional inference. Ethical and governance constraints: destructive sampling limits per object may prevent full multi-domain tests. Computational: Bayesian models and inter-lab comparisons require careful reproducibility tracking and may be sensitive to prior choices.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