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pleistocene_western_europe_dispersal</w:t>
      </w:r>
    </w:p>
    <w:p>
      <w:r>
        <w:t xml:space="preserve"> </w:t>
      </w:r>
    </w:p>
    <w:p>
      <w:pPr>
        <w:pStyle w:val="Heading2"/>
      </w:pPr>
      <w:r>
        <w:t>Title</w:t>
      </w:r>
    </w:p>
    <w:p>
      <w:r>
        <w:t>Bayesian-integrated agent-based modelling and multiproxy chronostratigraphy to test dispersal pulses and population dynamics of early to middle Pleistocene hominins in western Europe</w:t>
      </w:r>
    </w:p>
    <w:p>
      <w:r>
        <w:t xml:space="preserve"> </w:t>
      </w:r>
    </w:p>
    <w:p>
      <w:pPr>
        <w:pStyle w:val="Heading2"/>
      </w:pPr>
      <w:r>
        <w:t>Short Hypothesis</w:t>
      </w:r>
    </w:p>
    <w:p>
      <w:r>
        <w:t>Time-slices in western Europe where reconstructed arboreal pollen exceeds 40% and estimated prey biomass exceeds 150 kg km−2 will show a &gt;50% higher probability of clustered dispersal-pulse arrivals (defined as site Bayesian 95% credible-interval pairwise overlap ≥50% and Bayes factor &gt;3) and sustained archaeological presence (≥2 stratigraphic levels with independent dating) than time-slices not meeting those ecological thresholds.</w:t>
      </w:r>
    </w:p>
    <w:p>
      <w:r>
        <w:t xml:space="preserve"> </w:t>
      </w:r>
    </w:p>
    <w:p>
      <w:pPr>
        <w:pStyle w:val="Heading2"/>
      </w:pPr>
      <w:r>
        <w:t>Related Work</w:t>
      </w:r>
    </w:p>
    <w:p>
      <w:r>
        <w:t>Existing work combines single-site chronologies, paleoenvironmental proxies, lithic analysis, biomolecular identifications, and agent-based or demographic models to study Pleistocene human occupations. Strengths include development of Bayesian age models for sites, multiproxy reconstructions of vegetation and faunal communities, and spatial simulation of movement. Limitations are: inconsistent decision thresholds across studies (different pollen or biomass cutoffs), sparse and uneven dating density, limited cross-method calibration (few inter-lab replications), weak formal links between ecological proxies and demographic parameters (carrying capacity K and energy budgets), limited identifiability testing for model parameters, and few blinded validation tests. Prior models often omit structured uncertainty propagation from dating, taphonomy and biomolecular triage, and do not quantify how proxy-to-demography transforms change inferences.</w:t>
      </w:r>
    </w:p>
    <w:p>
      <w:r>
        <w:t xml:space="preserve"> </w:t>
      </w:r>
    </w:p>
    <w:p>
      <w:pPr>
        <w:pStyle w:val="Heading2"/>
      </w:pPr>
      <w:r>
        <w:t>Abstract</w:t>
      </w:r>
    </w:p>
    <w:p>
      <w:r>
        <w:t>This project tests whether ecological windows of opportunity explain clustered hominin dispersals and sustained occupations in western Europe during the early to middle Pleistocene. We integrate hierarchical Bayesian age-depth models, pollen- and faunal-derived ecological reconstructions, biomolecular taxonomic triage, standardized lithic behavioral metrics, and a spatially explicit agent-based model (ABM). The method formalizes operational decision rules (e.g., pollen and prey-biomass thresholds, Bayesian overlap and Bayes-factor criteria) and propagates uncertainty from dating, taphonomy and biomolecular preservation into demographic inference. Main contributions are: (1) a reproducible pipeline linking multiproxy time-slices to ABM parameterization; (2) explicit functional forms that convert prey biomass and vegetation into local carrying capacity and seasonal resource windows; and (3) blind-test validation with withheld horizons and identifiability diagnostics. Expected outcomes are falsifiable statements about timing and frequency of dispersal pulses, spatial routes of movement, and the ecological conditions that enable sustained occupation, enabling clearer resolution of the documented chronological gap between Asia and western Europe.</w:t>
      </w:r>
    </w:p>
    <w:p>
      <w:r>
        <w:t xml:space="preserve"> </w:t>
      </w:r>
    </w:p>
    <w:p>
      <w:pPr>
        <w:pStyle w:val="Heading2"/>
      </w:pPr>
      <w:r>
        <w:t>Experiments</w:t>
      </w:r>
    </w:p>
    <w:p>
      <w:r>
        <w:t>Datasets: (1) Empirical: curated multi-site dataset of 12 core test regions across western Europe including stratigraphic logs, OSL/Ar-Ar/ESR/14C ages, pollen counts, charcoal, faunal NISP and ZooMS/enamel proteomics results, and lithic refit datasets. Two designated pilot sites provide variance estimates. (2) Synthetic: simulated landscapes and site records with known ground-truth dispersal pulses for recovery tests. Baselines: (A) non-integrated single-method chronology (dates only), (B) ABM without ecological thresholds, (C) ABM with thresholds but without biomolecular constraints. Evaluation metrics: pulse-detection accuracy (true positive rate, false positive rate), temporal precision (mean absolute error of pulse timing in kyr), occupation classification accuracy (sustained vs ephemeral), model selection scores (LOO-CV expected log predictive density, WAIC), Bayes factors for arrival-cluster hypothesis, parameter identifiability metrics (R-hat, effective sample size ESS, posterior-to-prior shrinkage), and withheld-site predictive log-score. Experimental setup: (1) Construct hierarchical Bayesian age models per horizon including inter-lab offsets; produce posterior time-slices. (2) Convert arboreal pollen and prey-biomass to local carrying capacity K using two functional forms: linear K = a * biomass and sigmoidal K = Kmax / (1 + exp(-b*(biomass - c))). Priors: a~Normal(0.01,0.005), Kmax~Uniform(10,1000), b~Uniform(0.01,0.5), c~Uniform(50,250). (3) Run ABM ensembles: 2000 realizations per scenario; each realization records occupancy, site persistence, and migration routes. (4) Blind-test: withhold 6 horizons (3 early, 3 middle Pleistocene) from model fitting; run prediction and assess against withheld data. (5) Ablation studies: remove biomolecular inputs; reduce per-horizon dates to minima (3) to test sensitivity; vary BPI (Biomolecular Preservation Index) cutoff and record change in taxonomic resolution and pulse detection. (6) Recovery experiments: run model-selection on synthetic ground-truth datasets varying pulse separation (10, 20, 50 kyr) and founder sizes to quantify minimum detectable pulse separation. Statistical tests: bootstrap confidence intervals (n=1000) for metrics; report posterior predictive checks and LOO-CV comparisons between models.</w:t>
      </w:r>
    </w:p>
    <w:p>
      <w:r>
        <w:t xml:space="preserve"> </w:t>
      </w:r>
    </w:p>
    <w:p>
      <w:pPr>
        <w:pStyle w:val="Heading2"/>
      </w:pPr>
      <w:r>
        <w:t>Risk Factors And Limitations</w:t>
      </w:r>
    </w:p>
    <w:p>
      <w:r>
        <w:t>Technical failure modes: poor biomolecular preservation yielding sparse taxonomic anchors; partial OSL bleaching or mixed stratigraphy causing biased ages; low lithic refit counts limiting mobility inference. Data biases: uneven spatial sampling across regions, preservation-dependent taxon visibility, taphonomic loss skewing prey-biomass estimates. Model limitations: non-identifiability of correlated parameters (e.g., dispersal kernel width vs founder size) when data are sparse; sensitivity of inferences to chosen functional forms linking biomass to carrying capacity. Scalability and compute: ABM ensemble runs and Bayesian hierarchies require high compute (thousands of core-hours and terabyte-scale storage); resource limits may force coarser ensembles. Generalization limits: ecological thresholds calibrated on western European data may not transfer to other regions or time periods; conclusions depend on threshold choices and preserved proxies. Statistical limits: blind-test power may be limited for detecting pulses separated by &lt;10 kyr given realistic dating uncertainties.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