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mre_bangladesh_case_study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case study using ethnography and psychometric measurement to evaluate how development-framed English-in-education policy affects recognition of low-SES students and parents in a Bangladeshi school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Emphasis on development-framed English-in-education policy that increases standardized English metric use causes higher measurable misrecognition among low-SES students and parents within one academic year, as detected by increases in MRE (misrecognition) scores and decreases in perceived epistemic credibility.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shows that language-in-education policy is often framed as human capital or development, and that governmental rationalities (neoliberal testing, accountability) can produce misrecognition and exclusion. Comparative policy studies document macro-level shifts (standardization → personalization) and critiques using governmentality and recognition theory highlight structural mechanisms (metricization, responsibilization). Limitations of existing approaches: most analyses are either macro discourse or small-scale ethnography without validated measurement; there is a lack of psychometrically tested instruments for misrecognition; causal claims are weak because studies rarely exploit policy discontinuities or quasi-experimental designs; algorithmic assessment effects and vendor biases are under-audited; and community governance in interpretation is often absent. These gaps leave unresolved how policy texts and classroom practice causally shape parents' and students' felt recognition and measurable outcomes.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examines whether and how development-framed English-in-education policy produces misrecognition of low-socioeconomic-status (low-SES) students and parents in a Bangladeshi school. We combine intensive ethnography (classroom observation, interviews, focus groups) with development and validation of a Misrecognition (MRE) scale (a survey measuring perceived disrespect, discounting of home language knowledge, and distrust of educational authority). At high level: (1) use ethnographic data to generate items and contextualize mechanisms (metricization, epistemic closure), (2) use psychometric analysis (exploratory and confirmatory factor analysis; graded-response item response models) to produce a validated MRE instrument, and (3) apply quasi-experimental comparisons (difference-in-differences or matched comparisons around policy rollouts) to test whether policy emphasis on standardized English metrics leads to higher misrecognition. Main contribution: an integrated, theory-informed mixed-methods protocol and a validated MRE measure that links policy texts, classroom practice, and parent/student perceptions. Expected outcome: testable evidence on causal pathways from policy to lived misrecognition and a public instrument for future comparative studies.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Policy corpus: national and local English-in-education documents and circulars for the prior 5 years; (2) Ethnography: audio/video classroom recordings, field notes, interview and focus-group transcripts with principal, 6–8 teachers, 5–8 parents, and 4–6 students per school; (3) Survey: MRE instrument administered to students and parents; (4) Administrative records: attendance, term grades, English test scores; (5) Algorithmic audit samples: anonymized automated scoring outputs and human rater scores for the same student responses. Pilot sample (Phase 1): 6 purposive schools in Bangladesh, target 600–800 students total. Scale sample (Phase 2): 120 schools across 4 jurisdictions, 20 students per school → 2400 students. Baselines: matched schools without explicit development-framed English policy emphasis; pre-policy periods for DiD comparisons; human rater benchmarks for algorithmic scoring. Measurement: develop MRE subscales (policy discourse, classroom practice, perception) with EFA (exploratory factor analysis) on ≥300 responses, then CFA (confirmatory factor analysis) and MSEM (multilevel SEM) on ≥800 responses. IRT model: graded response model (GRM) for ordered survey items; report item discrimination and threshold parameters. Criteria: retain items with discrimination &gt;0.40, no severe local dependence, and acceptable model fit (CFI≥0.95, TLI≥0.95, RMSEA≤0.06, SRMR≤0.08). Reliability: Cronbach's alpha and McDonald's omega ≥0.80. DIF (differential item functioning) tests: IRT-LR or Lord's chi-square, flag items with p&lt;0.01 after correction. Causal tests: preregistered difference-in-differences (DiD) and event-study models with staggered-treatment estimators (Callaway &amp; Sant'Anna or Sun &amp; Abraham), parallel-trends test (pre-trend p&gt;0.10), placebo-event checks, and synthetic control where single-jurisdiction counterfactuals apply. Primary outcome: change in MRE mean (standardized). Report effect sizes (Cohen's d), DiD beta with 95% CI, cluster-robust SEs. Power calculation (primary DiD): with 120 schools × 20 students, ICC=0.05, alpha=0.05, power=0.80, design effect =1+(20-1)*0.05=1.95, effective N ≈2400/1.95≈1230, two-sided test yields minimum detectable effect (MDE) ≈0.18 standard deviations. Missing data and attrition: use multiple imputation by chained equations (MI) for survey items, full-information maximum likelihood (FIML) for CFA, and inverse-probability weighting for attrition sensitivity; report sensitivity bounds. Intercoder reliability: double-code 20% of qualitative corpus, target Cohen's kappa ≥0.70; report kappa and resolve via adjudication. Ablation studies: (A) compare full MRE composite vs subscale-only models (policy-only, classroom-only, perception-only); (B) test IRT GRM vs simpler ordinal CFA models; (C) algorithmic audit: compare automated scores vs human raters using ICC and fairness metrics (see below). Evaluation metrics: MRE mean difference, Cohen's d, DiD beta (95% CI), CFA fit indices (CFI/TLI/RMSEA/SRMR), IRT item parameters, Cronbach's alpha/omega, DIF p-values, intercoder kappa. Algorithmic fairness metrics: demographic parity difference, equalized odds difference, false positive/negative rate differences; interpretability: SHAP (SHapley Additive exPlanations) or LIME outputs for selected models. Pre-registration: preregister treatment definitions, event windows, primary outcomes, model specs, and power calculations before Phase 2.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bias: social desirability in surveys and interviews may distort MRE responses. Sample and generalization limits: pilot in a single-country context limits external validity; cross-jurisdiction scaling still may not cover all institutional types. Causal identification limits: absence of clear policy discontinuities in some sites reduces quasi-experimental leverage. Subgroup power: small subgroup sample sizes (e.g., specific language minorities) can prevent reliable invariance tests. Algorithmic audit access: vendors may refuse training-data access, limiting audit depth. Translation risks: meaning loss in back-translation and coding across languages. Attrition and missing data: high drop-out in longitudinal follow-up can bias estimates. Political sensitivity: research may encounter restricted access or stakeholder pushback in hostile policy environments. Computational limits: complex IRT/MSEM on large multisite data may require high compute and specialist software. Ethical limits: community veto or data governance restrictions may limit public release of some datasets, reducing reproducibility of some analyses.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