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artificial_creativity_investigation</w:t>
      </w:r>
    </w:p>
    <w:p>
      <w:r>
        <w:t xml:space="preserve"> </w:t>
      </w:r>
    </w:p>
    <w:p>
      <w:pPr>
        <w:pStyle w:val="Heading2"/>
      </w:pPr>
      <w:r>
        <w:t>Title</w:t>
      </w:r>
    </w:p>
    <w:p>
      <w:r>
        <w:t>Operational evaluation of a bounded novelty-surprise-value objective to test claims of creativity in opaque generative systems</w:t>
      </w:r>
    </w:p>
    <w:p>
      <w:r>
        <w:t xml:space="preserve"> </w:t>
      </w:r>
    </w:p>
    <w:p>
      <w:pPr>
        <w:pStyle w:val="Heading2"/>
      </w:pPr>
      <w:r>
        <w:t>Short Hypothesis</w:t>
      </w:r>
    </w:p>
    <w:p>
      <w:r>
        <w:t>Optimizing a bounded composite objective U = wN fN + wS fS + wV fV - wC fC, where fN, fS, fV, fC are calibrated against human judgments, causes an opaque generative system to produce outputs that human raters consistently score higher on perceived creativity than outputs from baseline systems that do not optimize U.</w:t>
      </w:r>
    </w:p>
    <w:p>
      <w:r>
        <w:t xml:space="preserve"> </w:t>
      </w:r>
    </w:p>
    <w:p>
      <w:pPr>
        <w:pStyle w:val="Heading2"/>
      </w:pPr>
      <w:r>
        <w:t>Related Work</w:t>
      </w:r>
    </w:p>
    <w:p>
      <w:r>
        <w:t>Prior work operationalizes creativity as combinations of novelty, surprise, and value, and uses embedding distances, likelihood-based surprisal, and human ratings to evaluate generative systems. Architecture work has separated planning and rendering components to improve control over outputs. Recent work on evaluation has used encoders like CLIP for image embeddings and SBERT for text, but often reuses the same encoder for generation and evaluation, creating circularity. Human calibration has been used unevenly and at small scale, leaving weight selection under-specified. Privacy (differential privacy), provenance metadata, and revocation semantics are discussed but rarely integrated with evaluation pipelines. Existing methods lack rigorous adversarial checks (manifold poisoning, exemplar injection) and systematic DP utility-privacy curves. Limitations: inconsistent metric definitions, post-hoc threshold tuning, encoder-evaluation circularity, sparse cross-domain calibration, and weak operationalization of revocation costs and fairness sampling.</w:t>
      </w:r>
    </w:p>
    <w:p>
      <w:r>
        <w:t xml:space="preserve"> </w:t>
      </w:r>
    </w:p>
    <w:p>
      <w:pPr>
        <w:pStyle w:val="Heading2"/>
      </w:pPr>
      <w:r>
        <w:t>Abstract</w:t>
      </w:r>
    </w:p>
    <w:p>
      <w:r>
        <w:t>We study whether an opaque AI whose outputs correlate with human inputs can be meaningfully called creative by operationalizing a bounded composite objective U that combines novelty (N), surprise (S), and value (V) and subtracts constraint violations (C). We implement precise, testable forms for fN (embedding manifold distance), fS (model-based surprisal gap), fV (human-calibrated regression), and fC (constraint satisfaction ratio), normalize each to [0,1], and fit the weights wN,wS,wV,wC using hierarchical Bayesian calibration on human ratings. We evaluate planner–renderer generative systems across image, text, and audio tasks, compare them to established baselines and simple heuristics, and run adversarial and differential-privacy experiments. The main contribution is a reproducible empirical protocol and metric suite that links computational scores to human judgments and quantifies tradeoffs (privacy, robustness, provenance costs). Expected outcome: clear, reproducible evidence about whether optimizing opaque correlations produces outputs that humans judge as more creative, together with published metric code, datasets with provenance, and pre-registered analysis plans.</w:t>
      </w:r>
    </w:p>
    <w:p>
      <w:r>
        <w:t xml:space="preserve"> </w:t>
      </w:r>
    </w:p>
    <w:p>
      <w:pPr>
        <w:pStyle w:val="Heading2"/>
      </w:pPr>
      <w:r>
        <w:t>Experiments</w:t>
      </w:r>
    </w:p>
    <w:p>
      <w:r>
        <w:t>Datasets: hybrid creativity corpus of 3,000 calibration items split by domain: images=1,000, text=1,000, audio=500, structured plans=500. Each item has JSON-LD provenance, license, and consent metadata. Holdout sets: 20% per domain. Raters: &gt;=3 independent raters per item, Krippendorff's alpha target &gt;=0.7. Sample sizes and power: calibration N=3,000 for weight estimation; confirmatory tasks per modality: image within-subject n=40, text within-subject n=40, audio within-subject n=34, planner-renderer combined between-subject n=64 (assumes Cohen's d=0.5, power=0.8); adjust after pilot variance estimates. Baselines: VQGAN+CLIP, Stable Diffusion v1.5, small autoregressive transformer, diffusion-only renderer, planner-only (no renderer conditioning), adapter-only (LoRA) vs cross-attention models, and randomized-output baseline. Simple heuristics: token-overlap novelty (fraction novel tokens) and fully randomized outputs. Metrics (formal): fN(d)=sigmoid(alpha*(d - mu_ref)/sigma_ref) where d is cosine-distance to kth-nearest neighbor in a reference manifold (k=5), alpha=1.5 initial, mu_ref and sigma_ref are manifold mean and std of distances; manifold sizes to test: 500, 2,000, 10,000. fS = sigmoid(beta*(LL_ref - LL_gen)) where LL are per-token log-likelihoods from a domain autoregressive transformer (context length L=512 tokens for text; for images use VQ-token sequences of equivalent length), beta=1.0 initial; normalize LL per token. fV = minmax( regression(model_features) ) mapped to [0,1], regression trained on calibration set (GBDT + small MLP). fC = max(0, (#constraints_satisfied / #constraints_total) - avg_violation_mag_normalized) clipped to [0,1]; constraints are parsed into executable checks (see constraint parsing below). Diversity/complexity: minibatch DPP determinant approximation, normalized compression distance (NCD), multiscale entropy. Experimental setup: implement planner+renderer prototype (100M params) and mid-scale run (1B params) for scaling checks; training seeds &gt;=5; optimizers: AdamW vs Lion ablation; learning rates swept; RL ablation: PPO with critic scoring U (composite reward) vs supervised fine-tuning on human-selected exemplars. Encoder ablations: CLIP ViT-L/14, domain-tuned CLIP, SBERT-mpnet for text, GraphSAGE for plans; evaluation encoder reuse check: use alternate encoder family to detect circularity. Privacy evaluation: DP-SGD with per-example clipping norms {1,2,4}, noise multipliers tuned to ε in {1,3,8} (δ=1e-6); report validation loss vs ε curves and downstream perceived creativity effect. Adversarial tests: exemplar-injection, manifold-poisoning prompts, gradient perturbations; report ROC/AUC of detector and TPR/FPR at operating thresholds. Ablations: (1) remove fV (wV=0), (2) remove fS, (3) vary plan granularity (coarse, medium, fine), (4) encoder family swap, (5) optimizer ablation. Analysis: preregistered mixed-effects regression rating ~ condition*plan_granularity + expertise + (1|participant) + (1|item); primary outcomes: aggregated human U, constraint-satisfaction rate, human-rated novelty; multiplicity: gatekeeping for primaries, Benjamini-Hochberg for secondaries. Reproducibility: publish containerized pipeline, deterministic seeds, dataset snapshot, and evaluation scripts with CI tests.</w:t>
      </w:r>
    </w:p>
    <w:p>
      <w:r>
        <w:t xml:space="preserve"> </w:t>
      </w:r>
    </w:p>
    <w:p>
      <w:pPr>
        <w:pStyle w:val="Heading2"/>
      </w:pPr>
      <w:r>
        <w:t>Risk Factors And Limitations</w:t>
      </w:r>
    </w:p>
    <w:p>
      <w:r>
        <w:t>Technical failure modes: encoder-evaluation circularity (same encoder used for generation and scoring can inflate novelty), reward hacking in RL (models exploit metric weaknesses), and unstable RL training causing mode collapse. Data and evaluation biases: limited cultural representation in calibration set, rater demographics skewing value judgments, and underspecified constraints leading to inconsistent fC scores. Privacy and utility tradeoffs: differential privacy will reduce model utility; validation loss vs ε may show large drops at low ε. Scalability and compute limits: mid/large models require 10k–100k GPU-hours; retraining for revocation can be costly. Revocation costs and latency: soft-gating is immediate; hard retraining example costs—prototype (100M) retraining 10% steps ≈100 GPU-hours (~12.5 hours on 8 GPUs); cost estimate range $200–$1,000 depending on cloud price; mid-scale (1B) 10% ≈1,000 GPU-hours. Limits to generalization: calibration weights and encoders may not transfer across genres, languages, or low-resource domains. Adversarial vulnerability: manifold poisoning and exemplar injection can yield false novelty. Conceptual limit: human-perceived creativity may not be fully captured by correlations measurable in opaque systems; results will not alone settle philosophical questions about authorship or moral attribution. Constraint parsing limits: automated checks may fail on vague or implicit constraints, producing noisy fC scores.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