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social_cohesion_africa_measurement</w:t>
      </w:r>
    </w:p>
    <w:p>
      <w:r>
        <w:t xml:space="preserve"> </w:t>
      </w:r>
    </w:p>
    <w:p>
      <w:pPr>
        <w:pStyle w:val="Heading2"/>
      </w:pPr>
      <w:r>
        <w:t>Title</w:t>
      </w:r>
    </w:p>
    <w:p>
      <w:r>
        <w:t>Bayesian multilevel item response measurement of social cohesion in Africa using household (Afrobarometer) and expert (V-Dem) data for robust cross‑context comparability</w:t>
      </w:r>
    </w:p>
    <w:p>
      <w:r>
        <w:t xml:space="preserve"> </w:t>
      </w:r>
    </w:p>
    <w:p>
      <w:pPr>
        <w:pStyle w:val="Heading2"/>
      </w:pPr>
      <w:r>
        <w:t>Short Hypothesis</w:t>
      </w:r>
    </w:p>
    <w:p>
      <w:r>
        <w:t>Combining household survey items and expert indicators in a Bayesian multilevel IRT model causes higher cross‑country measurement invariance and greater small‑area predictive validity for conflict and public service trust than indices derived from household data alone.</w:t>
      </w:r>
    </w:p>
    <w:p>
      <w:r>
        <w:t xml:space="preserve"> </w:t>
      </w:r>
    </w:p>
    <w:p>
      <w:pPr>
        <w:pStyle w:val="Heading2"/>
      </w:pPr>
      <w:r>
        <w:t>Related Work</w:t>
      </w:r>
    </w:p>
    <w:p>
      <w:r>
        <w:t>Existing approaches measure social cohesion with household surveys (e.g., interpersonal trust, group participation) or with expert‑coded governance indices; some studies build composite indices using equal weighting, PCA, or confirmatory factor analysis. Limitations include weak operational definitions across studies, frequent failure of measurement invariance across countries (so group comparisons are unreliable), limited integration of expert and household sources, inadequate propagation of item‑level uncertainty into area estimates, sparse treatment of small‑area inference and geomasking effects on spatial precision, and inconsistent handling of survey design and nonresponse in latent‑trait models. Prior mixed‑methods work addresses local meanings but rarely formalizes qualitative priors into Bayesian measurement models.</w:t>
      </w:r>
    </w:p>
    <w:p>
      <w:r>
        <w:t xml:space="preserve"> </w:t>
      </w:r>
    </w:p>
    <w:p>
      <w:pPr>
        <w:pStyle w:val="Heading2"/>
      </w:pPr>
      <w:r>
        <w:t>Abstract</w:t>
      </w:r>
    </w:p>
    <w:p>
      <w:r>
        <w:t>Problem: Current measures of social cohesion in Africa face comparability, bias, and spatial precision problems when used for policy. Approach: We propose a Bayesian multilevel item response theory (IRT) framework that links household survey items (Afrobarometer) and expert indicators (V‑Dem) into five domain latent factors with a second‑order Social Cohesion Index (SCI). We incorporate spatial area effects (BYM2; a spatial model that captures neighborhood similarity) and explicitly model sampling design, missingness, and differential item functioning (DIF). Contribution: The method produces SCI estimates with propagated item uncertainty, formal rules for DIF and partial invariance, and explicit disclosure‑risk reporting for geomasked locations. Expected outcome: Improved cross‑country comparability, better small‑area estimates with quantified uncertainty, and clearer diagnostics for when scores are not comparable across groups. This work provides a reproducible measurement pipeline and pre‑specified evaluation criteria to support policy‑relevant use of cohesion estimates.</w:t>
      </w:r>
    </w:p>
    <w:p>
      <w:r>
        <w:t xml:space="preserve"> </w:t>
      </w:r>
    </w:p>
    <w:p>
      <w:pPr>
        <w:pStyle w:val="Heading2"/>
      </w:pPr>
      <w:r>
        <w:t>Experiments</w:t>
      </w:r>
    </w:p>
    <w:p>
      <w:r>
        <w:t>Datasets: Afrobarometer household survey rounds covering pilot countries (household attitudinal and vignette items), V‑Dem expert indicators for institutional legitimacy, ACLED conflict event data (for predictive validity), and administrative service uptake proxies where available. Baselines: (A) household‑only SCI equal domain weighting, (B) household‑only empirical weights (2nd‑order CFA/PCA), (C) V‑Dem only composite, (D) two‑step scoring (IRT then area aggregation without spatial model). Proposed model: Bayesian multilevel IRT combining GRM for polytomous attitudinal items and GPCM for vignette/behavioral items, five domain latent factors, second‑order SCI, BYM2 spatial area effects, and multilevel imputation for missingness. Evaluation metrics: measurement invariance (ΔCFI &lt;0.01, ΔRMSEA &lt;0.015), DIF detection (effect size &gt;0.25 logits or McFadden's R2 &gt;0.02), predictive validity for conflict (AUC and RMSE for area‑level changes), external validity for service trust (Pearson r and RMSE), test–retest reliability (ICC target ≥0.60), small‑area accuracy (MAE and coverage of 95% credible intervals), and disclosure risk (re‑identification probability simulated). Experimental setup: run clustered 5‑fold cross‑validation at cluster (enumeration area) level; perform ablations: remove V‑Dem (household‑only), remove BYM2 spatial prior (no spatial structure), compare weight handling methods (pseudo‑likelihood survey weights vs hierarchical selection modeling), and run prior sensitivity with three prior scales (weak, narrower, and informative from qualitative elicitation). Report posterior predictive checks, DIF impact on group means, and area‑level uncertainty maps. Power/sample checks: simulate detection of DIF at 0.25 logits with typical pilot N≈3,000 and cluster structures (100 clusters × 30 households) to estimate DIF detection power.</w:t>
      </w:r>
    </w:p>
    <w:p>
      <w:r>
        <w:t xml:space="preserve"> </w:t>
      </w:r>
    </w:p>
    <w:p>
      <w:pPr>
        <w:pStyle w:val="Heading2"/>
      </w:pPr>
      <w:r>
        <w:t>Risk Factors And Limitations</w:t>
      </w:r>
    </w:p>
    <w:p>
      <w:r>
        <w:t>Measurement risks: DIF or scalar non‑invariance may prevent valid group comparisons despite model adjustments (partial invariance may still leave bias). Data risks: political sensitivity and nonresponse can produce MNAR patterns (missing not at random) that bias estimates. Privacy risks: geomasking (2 km urban/5 km rural) may reduce small‑area accuracy; disclosure risk requires simulation of intruder attacks and may limit microdata release. Technical risks: Bayesian multilevel IRT with spatial priors is compute‑intensive and may be slow for many areas or repeated sensitivity checks. Design risks: improper incorporation of complex survey weights or stratification can bias latent estimates if not modeled correctly (choice between pseudo‑likelihood and hierarchical selection models matters). Generalization limits: instrument items validated in pilot countries may not transfer to all African contexts without re‑validation. Ethical and legal limits: country data‑sovereignty rules or government restrictions can constrain data access and sharing. Evaluation biases: external validity tests (conflict/service proxies) depend on data quality and may reflect confounders rather than cohesion effects.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