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history_therapy_naci</w:t>
      </w:r>
    </w:p>
    <w:p>
      <w:r>
        <w:t xml:space="preserve"> </w:t>
      </w:r>
    </w:p>
    <w:p>
      <w:pPr>
        <w:pStyle w:val="Heading2"/>
      </w:pPr>
      <w:r>
        <w:t>Title</w:t>
      </w:r>
    </w:p>
    <w:p>
      <w:r>
        <w:t>History Therapy: a structured archival-informed intervention to improve meaning-making and psychological well-being</w:t>
      </w:r>
    </w:p>
    <w:p>
      <w:r>
        <w:t xml:space="preserve"> </w:t>
      </w:r>
    </w:p>
    <w:p>
      <w:pPr>
        <w:pStyle w:val="Heading2"/>
      </w:pPr>
      <w:r>
        <w:t>Short Hypothesis</w:t>
      </w:r>
    </w:p>
    <w:p>
      <w:r>
        <w:t>Participants who receive the History Therapy intervention (structured exposure to curated historical worldviews plus guided narrative re-authoring) will show greater improvement in psychological well-being (Ryff-42) and meaning-in-life (MILQ presence) at post-treatment than participants receiving a time-matched supportive control.</w:t>
      </w:r>
    </w:p>
    <w:p>
      <w:r>
        <w:t xml:space="preserve"> </w:t>
      </w:r>
    </w:p>
    <w:p>
      <w:pPr>
        <w:pStyle w:val="Heading2"/>
      </w:pPr>
      <w:r>
        <w:t>Related Work</w:t>
      </w:r>
    </w:p>
    <w:p>
      <w:r>
        <w:t>Prior work includes narrative therapy, life-review and reminiscence interventions, bibliotherapy (therapeutic reading), memory studies linking autobiographical memory to identity, and psychoanalytic approaches that probe unconscious historical influences. Clinical trials of life-review and expressive-writing show modest improvements in mood and meaning but typically lack archival sourcing or structured exposure to alternative historical worldviews. Existing narrative measures capture coherence or agency but are often unstandardized, lack strong psychometrics across cultures, and do not quantify linkage to external historical sources. Computational approaches extract narrative features from text but are limited by domain mismatch, cultural bias, and weak human-in-the-loop safeguards. Overall limitations: (1) absence of a replicable, archival-integrated therapeutic protocol, (2) few validated measures tying archival engagement to narrative change, (3) inadequate safety/legal workflows for third-party archival material, and (4) limited mixed-methods pipelines combining qualitative mechanism maps with scalable automated scoring.</w:t>
      </w:r>
    </w:p>
    <w:p>
      <w:r>
        <w:t xml:space="preserve"> </w:t>
      </w:r>
    </w:p>
    <w:p>
      <w:pPr>
        <w:pStyle w:val="Heading2"/>
      </w:pPr>
      <w:r>
        <w:t>Abstract</w:t>
      </w:r>
    </w:p>
    <w:p>
      <w:r>
        <w:t>Problem: Many people seek deeper meaning and clearer self-understanding, but existing therapies rarely integrate curated historical knowledge in a structured way. Approach: We propose History Therapy, an interdisciplinary intervention that pairs short, manualized sessions with curated archival materials and structured narrative re-authoring tasks. The method uses guided exposure to alternative historical worldviews and artifact-led storytelling to prompt self-reflection. Main contribution: We introduce a measurable protocol and a new investigator-rated index, the Narrative-Archival Coherence Index (NACI), to quantify how participants link personal narratives to external historical context. NACI will be developed with rater manuals and psychometric calibration (item-response modeling and factor analysis). Expected outcome: The pilot will test feasibility, safety, and preliminary efficacy for improving meaning-in-life and psychological well-being, and will produce validated measurement tools, a human-in-the-loop NLP pipeline for scoring transcripts (with a confidence threshold), and ethical procedures for archival consent. Impact: If effective, History Therapy provides a replicable method and measurement suite for studying how historical engagement facilitates meaning-making and well-being.</w:t>
      </w:r>
    </w:p>
    <w:p>
      <w:r>
        <w:t xml:space="preserve"> </w:t>
      </w:r>
    </w:p>
    <w:p>
      <w:pPr>
        <w:pStyle w:val="Heading2"/>
      </w:pPr>
      <w:r>
        <w:t>Experiments</w:t>
      </w:r>
    </w:p>
    <w:p>
      <w:r>
        <w:t>Design: Randomized pilot RCT (n=60) with two active arms and one time-matched supportive control; embedded mixed-methods subsample (n=24) and calibration corpus (8–10 cases) for NACI. Intervention: 8–12 manualized sessions of History Therapy. Baselines: supportive therapy (time-matched talk) and expressive-writing control. Datasets: session transcripts (text), artifact images, archival search logs, standardized measures (Ryff-42, MILQ presence, PCL-5), NACI ratings, NLP-extracted features. Rater procedure: 6-hour manualized training; target interrater ICC ≥ .75 and Cohen’s kappa ≥ .70. Psychometrics: item-response theory (graded-response model) on NACI items; EFA (parallel analysis, oblimin) then CFA on holdout; test–retest r over 2 weeks. Evaluation metrics: clinical effect sizes (Cohen’s d), mixed-effects model time×group interaction p-values, Cronbach’s alpha (internal consistency), ICC (interrater), RMSEA/CFI/TLI for CFA (model fit), bootstrapped indirect effects (5,000 samples) for mediation, measurement invariance tests (configural/metric/scalar). NLP metrics: precision/recall/F1 for entity and temporal extraction; calibration threshold: human review when model confidence &lt;90%. Comparisons/ablations: (A) full History Therapy vs supportive vs expressive-writing; (B) History Therapy with artifact integration vs History Therapy without artifact integration (ablation to test artifact contribution); (C) NACI scored by human raters vs semi-automated NLP-assisted scoring (to test automation accuracy). Analysis setup: random assignment, linear mixed models with random intercepts, pre-specified covariates (baseline score, age, sex/gender, trauma severity, site), primary missing-data approach FIML, sensitivity with multiple imputation. Power: pilot focuses on feasibility and effect-size estimation; Monte Carlo simulations will guide definitive trial N≈200–250.</w:t>
      </w:r>
    </w:p>
    <w:p>
      <w:r>
        <w:t xml:space="preserve"> </w:t>
      </w:r>
    </w:p>
    <w:p>
      <w:pPr>
        <w:pStyle w:val="Heading2"/>
      </w:pPr>
      <w:r>
        <w:t>Risk Factors And Limitations</w:t>
      </w:r>
    </w:p>
    <w:p>
      <w:r>
        <w:t>1) Participant distress: archival discoveries may cause emotional harm; this presents ethical and safety risk. 2) Third-party/privacy/legal risks: archival material can implicate living persons or descendants and vary by jurisdiction. 3) Measurement failure: NACI items may not reach reliability (Cronbach’s alpha &lt; .80) or invariance across cultures. 4) NLP errors and bias: automated extraction may mislabel entities or reflect historical source bias; confidence thresholds may still miss errors. 5) Interrater variability: achieving ICC and kappa targets may be difficult, inflating measurement noise. 6) Small pilot sample: n=60 limits power to detect mediation and may produce unstable IRT item parameters. 7) Generalizability limits: findings may not extend to populations uninterested in historical materials or with low literacy/technology access. 8) Data and compute limits: secure storage of multimedia artifacts increases cost and may constrain scalability. 9) Archival source bias: historical records are incomplete and may systematically misrepresent marginalized groups, limiting interpretability. 10) Cross-jurisdictional regulatory complexity: differing laws may restrict data retention or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