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pygmalion_ai_fsi_causal</w:t>
      </w:r>
    </w:p>
    <w:p>
      <w:r>
        <w:t xml:space="preserve"> </w:t>
      </w:r>
    </w:p>
    <w:p>
      <w:pPr>
        <w:pStyle w:val="Heading2"/>
      </w:pPr>
      <w:r>
        <w:t>Title</w:t>
      </w:r>
    </w:p>
    <w:p>
      <w:r>
        <w:t>Estimating effects of cultural narratives and regulatory policies on AI development using a Frame Salience Index and mixed-effects causal inference</w:t>
      </w:r>
    </w:p>
    <w:p>
      <w:r>
        <w:t xml:space="preserve"> </w:t>
      </w:r>
    </w:p>
    <w:p>
      <w:pPr>
        <w:pStyle w:val="Heading2"/>
      </w:pPr>
      <w:r>
        <w:t>Short Hypothesis</w:t>
      </w:r>
    </w:p>
    <w:p>
      <w:r>
        <w:t>A sustained increase in regional Frame Salience Index (FSI) causes an increase in organizational safety investment rate (proportion of safety-tagged pull requests) within the following month.</w:t>
      </w:r>
    </w:p>
    <w:p>
      <w:r>
        <w:t xml:space="preserve"> </w:t>
      </w:r>
    </w:p>
    <w:p>
      <w:pPr>
        <w:pStyle w:val="Heading2"/>
      </w:pPr>
      <w:r>
        <w:t>Related Work</w:t>
      </w:r>
    </w:p>
    <w:p>
      <w:r>
        <w:t>Prior work on media framing, policy influence, and technology adoption uses text classification and time-series or cross-sectional causal methods to study how words and stories shape public opinion and institutional behavior. Research on software engineering metrics ties commit messages and release cadence to engineering outcomes, and studies of model fine-tuning show that training data affects model calibration and behavior. Existing approaches have four main limitations: (1) they rarely combine media, policy, and engineering artifacts into a single salience measure; (2) they often ignore classifier calibration and measurement uncertainty when feeding text signals into causal models; (3) causal designs commonly used (plain DiD or cross-sectional regressions) are vulnerable to time-varying confounding and weak instruments; (4) experimental evidence linking narrative exposure to both human decision-making and model internals is sparse. Cross-lingual coverage, privacy-preserving corpus design, and formal harm thresholds are also under-specified in prior work.</w:t>
      </w:r>
    </w:p>
    <w:p>
      <w:r>
        <w:t xml:space="preserve"> </w:t>
      </w:r>
    </w:p>
    <w:p>
      <w:pPr>
        <w:pStyle w:val="Heading2"/>
      </w:pPr>
      <w:r>
        <w:t>Abstract</w:t>
      </w:r>
    </w:p>
    <w:p>
      <w:r>
        <w:t>This study measures and tests whether cultural narratives and regulatory policy discourse change AI development choices via a quantifiable Frame Salience Index (FSI). We build calibrated classifiers over media articles, official policy texts, and software engineering artifacts (commits, PRs, release notes) to compute weekly regional FSIs. We estimate causal effects of FSI on organizational safety investments, deployment latency, and model calibration using mixed-effects models with organization random effects, event-study difference-in-differences, and instrumental-variable checks based on exogenous media shocks. We run preregistered human priming experiments (three framing arms) and model fine-tuning experiments (narrative-infused corpora) to triangulate causal pathways. Main contributions are (1) an operational FSI with uncertainty propagation, (2) a reproducible causal evaluation pipeline combining observational and experimental evidence, and (3) concrete, testable estimates of how narratives influence engineering outcomes. Expected outcome: robust, reproducible estimates of narrative-driven shifts in safety investment and model behavior that inform governance and design choices.</w:t>
      </w:r>
    </w:p>
    <w:p>
      <w:r>
        <w:t xml:space="preserve"> </w:t>
      </w:r>
    </w:p>
    <w:p>
      <w:pPr>
        <w:pStyle w:val="Heading2"/>
      </w:pPr>
      <w:r>
        <w:t>Experiments</w:t>
      </w:r>
    </w:p>
    <w:p>
      <w:r>
        <w:t>Datasets: (a) Media corpus: 1M region-stakeholder-tagged news/social posts covering 52 weeks, with reach metrics (unique users, impressions); (b) Policy corpus: 50k official documents and speeches with timestamps and issuer metadata; (c) Artifact corpus: 200 organizations' public repos (commits, PRs, release notes) over 52 weeks; (d) Organization metadata: size, funding stage, prior safety posture, regulatory exposure. Classifiers: BERT-base fine-tuned per component to output frame probabilities; calibrate outputs with isotonic regression (calibration = making predicted probabilities match observed frequencies). Compute FSI_t,r = normalize(w1·MediaScore + w2·PolicyScore + w3·ArtifactScore) with default w=1 and automated sensitivity sweep. MediaScore = reach-weighted sum of frame probabilities per week (reach = unique users or impressions). PolicyScore = length-normalized sum of classifier probabilities on official texts. ArtifactScore = proportion of commits/PRs with safety-probability &gt;0.7 and metaphor intensity per 1k tokens. Baselines: (1) exposure-only index (no frame classification); (2) single-component indices (Media-only, Policy-only, Artifact-only); (3) uncalibrated classifier FSI; (4) FSI with theory-driven prior weights. Evaluation metrics: primary causal outcome = change in safety investment rate (proportion of safety-tagged PRs); secondary outcomes = deployment latency (days), model calibration change (ΔBrier score; Brier measures how close probabilistic predictions are to true outcomes), conservatism score (abstention/human-in-loop rate), classifier calibration (ECE = expected calibration error), IV first-stage F-statistic. Statistical tests: mixed-effects model Outcome_it = β0 + β1·FSI_rt + X_itγ + u_i + τ_t + ε_it (u_i = organization random intercept; τ_t = week fixed effects); report cluster-robust SEs, wild-cluster bootstrap for small cluster counts, and posterior probabilities from hierarchical Bayesian fit. Causal identification: event-study DiD, synthetic control for treated regions, and IV using exogenous media shocks (e.g., time-stamped international incidents) with pre-specified diagnostics (first-stage F&gt;10, overidentification tests). Experimental components: (A) Human priming RCT: three framing arms (Promethean, Regulatory, Sovereignty), n=200 total (≈64 per arm), primary endpoint = change in simulated policy/design choices and proportion of safety-oriented language in free-text; power computed for Cohen's d=0.5. (B) Model fine-tuning: narrative-infused fine-tuning on a base LM with 3 frame conditions, 5 random seeds per condition, evaluation on ≥10k held-out prompts per condition, metrics = ΔBrier, conservatism, and output propensity scores. Ablations: (1) remove ArtifactScore from FSI; (2) compare calibrated vs uncalibrated classifiers; (3) compare synthetic vs redacted corpora for narrative infusion. Pre-registration: register estimands, primary tests, multiple-testing corrections (Benjamini–Hochberg), stopping rules, and code release schedule.</w:t>
      </w:r>
    </w:p>
    <w:p>
      <w:r>
        <w:t xml:space="preserve"> </w:t>
      </w:r>
    </w:p>
    <w:p>
      <w:pPr>
        <w:pStyle w:val="Heading2"/>
      </w:pPr>
      <w:r>
        <w:t>Risk Factors And Limitations</w:t>
      </w:r>
    </w:p>
    <w:p>
      <w:r>
        <w:t>Measurement error: miscalibrated classifiers or low inter-annotator agreement can bias FSI. Instrument validity: candidate instruments (media shocks) could violate exclusion if they affect outcomes through other channels. Unobserved confounding: time-varying factors may remain after adjustment. External validity: results on sampled organizations, regions, or languages may not generalize elsewhere. Privacy and disclosure risks: synthetic or redacted corpora can still leak sensitive signals; differential privacy parameters must be chosen but may reduce utility. Ethical harms: priming experiments risk psychological or reputational harm to participants. Synthetic artefacts: generated training data may introduce framing artifacts that do not reflect real-world language. Bot and exposure measurement errors: misclassification of automated amplification affects reach estimates. Compute and scalability: fine-tuning, bootstraps, and hierarchical Bayesian models require substantial compute and may limit replication. Cross-lingual limits: translation/back-translation can miss culturally-specific frames and idioms.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