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peircean_triadic_alignment</w:t>
      </w:r>
    </w:p>
    <w:p>
      <w:r>
        <w:t xml:space="preserve"> </w:t>
      </w:r>
    </w:p>
    <w:p>
      <w:pPr>
        <w:pStyle w:val="Heading2"/>
      </w:pPr>
      <w:r>
        <w:t>Title</w:t>
      </w:r>
    </w:p>
    <w:p>
      <w:r>
        <w:t>Operationalizing Peircean triadic semiosis to diagnose and mitigate the hall-of-mirrors problem in large language models using mutual-information mediation and causal interventions</w:t>
      </w:r>
    </w:p>
    <w:p>
      <w:r>
        <w:t xml:space="preserve"> </w:t>
      </w:r>
    </w:p>
    <w:p>
      <w:pPr>
        <w:pStyle w:val="Heading2"/>
      </w:pPr>
      <w:r>
        <w:t>Short Hypothesis</w:t>
      </w:r>
    </w:p>
    <w:p>
      <w:r>
        <w:t>Increasing triadic consistency—measured as MTC = I(S;I) + I(I;O) − β I(S;O)—via a training regularizer causes models to produce interpretants I that are more human-aligned, as evidenced by a decrease in KL(P_model(I) || P_human(I)) and an increase in the mediated proportion of the S→O effect through I.</w:t>
      </w:r>
    </w:p>
    <w:p>
      <w:r>
        <w:t xml:space="preserve"> </w:t>
      </w:r>
    </w:p>
    <w:p>
      <w:pPr>
        <w:pStyle w:val="Heading2"/>
      </w:pPr>
      <w:r>
        <w:t>Related Work</w:t>
      </w:r>
    </w:p>
    <w:p>
      <w:r>
        <w:t>Existing approaches probe model representations, use contrastive mutual-information estimators (InfoNCE), density models (normalizing flows), and causal tools (activation patching, ablation) to study internal features and interventions. Alignment work commonly optimizes predictive accuracy, reward, or human feedback but rarely enforces formally triadic (sign, interpretant, object) consistency. Prior probe-based methods can be circular (probe leakage) and lack causal validation; MI estimators suffer from batch-size and temperature biases and high variance at scale; activation patching often misidentifies distributed causes because of redundancy. Methods for grounding and human-alignment typically rely on supervised labels or behavior-only metrics and do not quantify mediation of behavior by internal interpretants. Semiotic theory (Peirce) has been suggested conceptually but has not been made operational with calibrated estimators, synthetic triadic benchmarks, and pre-registered causal identification.</w:t>
      </w:r>
    </w:p>
    <w:p>
      <w:r>
        <w:t xml:space="preserve"> </w:t>
      </w:r>
    </w:p>
    <w:p>
      <w:pPr>
        <w:pStyle w:val="Heading2"/>
      </w:pPr>
      <w:r>
        <w:t>Abstract</w:t>
      </w:r>
    </w:p>
    <w:p>
      <w:r>
        <w:t>Large language models (LLMs) often reflect surface patterns of text without stable, grounded internal meaning, a problem we call the hall-of-mirrors. We propose an operational Peircean triadic program that treats model meaning as a triad: sign (S), interpretant (I), and object (O). The approach defines a measurable Triadic Consistency metric (MTC = I(S;I)+I(I;O)−βI(S;O)), provides calibrated MI estimators, and uses causal mediation (activation patching, knock-ins/outs) to test if I causally mediates S→O. We will build synthetic benchmarks with analytic ground truth, elicit human interpretants to estimate P_human(I), and implement a composite training loss that includes a Triadic Consistency regularizer, an Indexical Grounding constraint, and a Human-Alignment penalty. The main contribution is a reproducible experimental pipeline that links information-theoretic measures, human-aligned interpretants, and causal tests to diagnose and reduce hall-of-mirrors failures. Expected outcomes are calibrated estimators, validated mediation scores, and empirical evidence whether enforcing triadic consistency produces more human-aligned and indexically grounded model representations.</w:t>
      </w:r>
    </w:p>
    <w:p>
      <w:r>
        <w:t xml:space="preserve"> </w:t>
      </w:r>
    </w:p>
    <w:p>
      <w:pPr>
        <w:pStyle w:val="Heading2"/>
      </w:pPr>
      <w:r>
        <w:t>Experiments</w:t>
      </w:r>
    </w:p>
    <w:p>
      <w:r>
        <w:t>Datasets: (1) Synthetic triadic benchmark generator with parametric families mapping S→I→O and analytic mutual-information ground truth; include degenerate and entangled cases and random seeds for reproducibility. (2) Pilot real tasks: 10k triads of short grounded dialogue or referent-description pairs with human-elicited interpretants. (3) Mid-scale tasks: 100k–1M triads including multimodal S/O where available. Models: pilot transformer ~10M parameters, mid-scale ~1B, optional large ~10–100B. Baselines: predictive-only fine-tune (language modeling loss), probe-only (linear probes trained to predict I), human-supervised-only (fine-tune on human interpretant labels without triadic regularizer). Estimators and probes: InfoNCE (primary) with in-batch negatives (128), temperature sweep; RealNVP/MAF flows for I(I;O); MINE/NWJ as secondary checks; linear ridge, small MLP, and seq2seq probes per layer. Metrics: MTC (nats), I(S;I), I(I;O), I(S;O), KL(P_model(I)||P_human(I)) with bootstrap 95% CIs, mediated proportion (Imai–Tingley mediation) with bootstrap CIs, indexical correlation τ (correlation between I features and O variables), iconicity distance ε (CCA/SVCCA distance between S_repr and I_repr), interpretant entropy convergence E[H(I_n|history)]. Experimental setup: pre-register β, τ, ε and hypergrids; strict data splits for probe discovery / probe validation / human-alignment testing; seed all randomness. Pilot: 10M model + 10k triads; train probes and evaluate MTC; decision criteria: MTC improvement &gt;3σ over permutation baseline and KL reduction ≥0.1 nats with 95% CI excluding zero. Ablations: (A) remove Human-Alignment penalty, (B) remove Indexical Grounding constraint, (C) remove Interpretant Convergence penalty, (D) swap InfoNCE for MINE/flow estimators to test estimator sensitivity. Causal tests: randomized O perturbations holding S constant, instrumented prompt variants Z, activation patching and knock-in/knock-out of identified I-subspaces; compute mediated proportion and permutation baselines. Reporting: bias/variance curves for estimators, estimator calibration maps from synthetic benchmark, Krippendorff’s alpha for human annotations, and power analysis (target detect Cohen’s d=0.5 at 80% power where applicable).</w:t>
      </w:r>
    </w:p>
    <w:p>
      <w:r>
        <w:t xml:space="preserve"> </w:t>
      </w:r>
    </w:p>
    <w:p>
      <w:pPr>
        <w:pStyle w:val="Heading2"/>
      </w:pPr>
      <w:r>
        <w:t>Risk Factors And Limitations</w:t>
      </w:r>
    </w:p>
    <w:p>
      <w:r>
        <w:t>1) Ill-posed interpretant definitions: mapping between latent activation patterns and human paraphrases can be ambiguous, making I ill-defined across tasks. 2) MI estimator limits: InfoNCE has batch-size and temperature biases; MINE has high variance; flows require tractable densities; estimators may fail at high dimension. 3) Causal identification fragility: instrumental prompt variants may violate exclusion or monotonicity assumptions; unobserved confounders can bias mediation estimates. 4) Probe circularity: probes can create representations or leak signal; strict splits may still be insufficient. 5) Activation patching uncertainty: distributed redundancy may produce false positives/negatives for causal scrubbing. 6) Synthetic benchmark mismatch: synthetic tasks may not capture real-world entanglement, limiting external validity. 7) Human annotation noise: low inter-annotator agreement reduces power and inflates KL uncertainty. 8) Compute and cost: mid/large-scale experiments may be infeasible for some teams due to GPU-hour and wall-clock constraints. 9) Generalization limits: results on specific tasks or architectures may not generalize across model families or modalities. 10) Ethical risks: elicited human rationales may contain sensitive content and require IRB and controlled access.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