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llm_mh_diag_treatment</w:t>
      </w:r>
    </w:p>
    <w:p>
      <w:r>
        <w:t xml:space="preserve"> </w:t>
      </w:r>
    </w:p>
    <w:p>
      <w:pPr>
        <w:pStyle w:val="Heading2"/>
      </w:pPr>
      <w:r>
        <w:t>Title</w:t>
      </w:r>
    </w:p>
    <w:p>
      <w:r>
        <w:t>Calibrated large language models with clinician-in-loop for detection and triage of high-acuity mental health events</w:t>
      </w:r>
    </w:p>
    <w:p>
      <w:r>
        <w:t xml:space="preserve"> </w:t>
      </w:r>
    </w:p>
    <w:p>
      <w:pPr>
        <w:pStyle w:val="Heading2"/>
      </w:pPr>
      <w:r>
        <w:t>Short Hypothesis</w:t>
      </w:r>
    </w:p>
    <w:p>
      <w:r>
        <w:t>A calibrated large language model used with a clinician-in-loop will detect imminent self-harm or psychosis with sensitivity ≥0.98 and harmful-recommendation rate ≤0.5% on a multi-site test set, outperforming the same model without calibration and standard logistic-text baselines.</w:t>
      </w:r>
    </w:p>
    <w:p>
      <w:r>
        <w:t xml:space="preserve"> </w:t>
      </w:r>
    </w:p>
    <w:p>
      <w:pPr>
        <w:pStyle w:val="Heading2"/>
      </w:pPr>
      <w:r>
        <w:t>Related Work</w:t>
      </w:r>
    </w:p>
    <w:p>
      <w:r>
        <w:t>Prior work includes rule-based screening tools, classical machine-learning models on text (logistic regression, random forests), and recent large language models (LLMs) applied to mental-health conversational data. Existing methods can identify signals of depression, suicidality, and distress but share common limitations: small or single-site datasets, limited annotation aligned to DSM/ICD, poor or unreported calibration of probabilistic outputs, minimal subgroup or fairness analyses, sparse prospective or clinician-in-loop trials, and weak privacy guarantees for public releases. Synthetic-data releases are often unvalidated for disclosure risk. Robust adversarial testing (red-teaming, prompt injection, degraded ASR inputs, code-switching) and long-term drift monitoring are rarely performed. These gaps limit clinical defensibility, reproducibility, and equitable performance across demographics.</w:t>
      </w:r>
    </w:p>
    <w:p>
      <w:r>
        <w:t xml:space="preserve"> </w:t>
      </w:r>
    </w:p>
    <w:p>
      <w:pPr>
        <w:pStyle w:val="Heading2"/>
      </w:pPr>
      <w:r>
        <w:t>Abstract</w:t>
      </w:r>
    </w:p>
    <w:p>
      <w:r>
        <w:t>We study whether calibrated large language models (LLMs), combined with clinician-in-loop workflows, can reliably detect and triage high-acuity mental health events such as imminent self-harm and psychosis. We propose a reproducible evaluation that uses multi-site conversational clinical corpora annotated to DSM/ICD criteria by two clinicians plus adjudication, a held-out clinical calibration set, and enriched test sets for rare high-acuity events. The main contribution is an end-to-end experimental protocol that measures diagnostic sensitivity, calibration (expected calibration error), harmful-recommendation rates, subgroup fairness, privacy disclosure metrics for synthetic data, and adversarial robustness. We compare uncalibrated LLMs, calibrated LLMs (temperature scaling or isotonic regression), and classical text baselines, and report results on pre-specified statistical targets. Expected outcomes include validated calibration methods that improve clinical triage sensitivity and lower harmful recommendations, quantified trade-offs between sensitivity and false positives at realistic prevalences, and an artifact set (annotated vignettes and evaluation scripts) to support reproducibility.</w:t>
      </w:r>
    </w:p>
    <w:p>
      <w:r>
        <w:t xml:space="preserve"> </w:t>
      </w:r>
    </w:p>
    <w:p>
      <w:pPr>
        <w:pStyle w:val="Heading2"/>
      </w:pPr>
      <w:r>
        <w:t>Experiments</w:t>
      </w:r>
    </w:p>
    <w:p>
      <w:r>
        <w:t>Datasets: multi-site conversational corpora from VA Mental Health, Kaiser Permanente behavioral health, NHS mental-health services, NIMH Data Archive, and consented crisis-line transcripts. For each site collect longitudinal labels (6-12 month outcomes): hospitalization, suicide attempt, crisis encounter. Annotation: two independent clinicians per record + adjudicator; map labels to DSM/ICD items; record demographics (age, sex, race, language, SES, neurodiversity). Test set design: hold out 20% stratified by site and subgroup; enrich test set to include ≥1,000 high-risk events and ≥250 positives per diagnosis when feasible; if not feasible, use nested case-control sampling with weighting. Baselines: (1) clinician-only consensus (retrospective chart review), (2) logistic regression on TF-IDF features, (3) transformer LLM without calibration, (4) LLM with calibration (temperature scaling and isotonic regression), (5) LLM with synthetic-data augmentation. Evaluation metrics: sensitivity and exact binomial 95% CI, specificity per subgroup, positive predictive value (PPV) and negative predictive value (NPV) at realistic prevalences, expected calibration error (ECE) with 10 equal-mass bins (ECE = average |predicted_prob - observed_freq|), Brier score, harmful-recommendation rate (proportion of outputs violating clinical guidance), decision-curve analysis, time-to-escalation (minutes/hours). Robustness tests: red-team prompt suite (paraphrase, leading questions, demographic swap), input perturbations (typos, ASR errors), code-switching, and distribution-shift evaluation on held-out sites. Privacy tests: train-on-synthetic test-on-real (TSTR), nearest-neighbor disclosure risk, and membership-inference attacks; for public synthetic releases compute differential privacy (DP) at record-level and user-level; vary DP epsilon (0.5, 1, 4, 8) and report utility loss. Experimental setup: 5-fold cross-validation for model selection, separate held-out calibration fold for temperature/isotonic fitting, fixed random seeds, seed reporting, pre-registration of primary endpoints (sensitivity for high-acuity events) and non-inferiority margins (2-5%) with hierarchical testing to control familywise error. Ablations: (A) remove calibration, (B) remove clinician-in-loop (automated-only outputs), (C) remove synthetic augmentation, (D) vary DP epsilon. Statistical analysis: exact binomial CIs for sensitivity, bootstrap for ECE and Brier, tests for subgroup differences with multiplicity control, report calibration within groups (calibration-in-the-small).</w:t>
      </w:r>
    </w:p>
    <w:p>
      <w:r>
        <w:t xml:space="preserve"> </w:t>
      </w:r>
    </w:p>
    <w:p>
      <w:pPr>
        <w:pStyle w:val="Heading2"/>
      </w:pPr>
      <w:r>
        <w:t>Risk Factors And Limitations</w:t>
      </w:r>
    </w:p>
    <w:p>
      <w:r>
        <w:t>Data sparsity for rare high-acuity events may prevent reaching target numbers (≥1,000 events); enriched sampling can bias prevalence and require careful weighting. Annotation variability: clinician disagreement may reduce label reliability. Privacy and DP trade-offs: strong DP (epsilon ≤1) can degrade model utility, and record-level vs user-level DP choices affect protection for longitudinal records. Adversarial inputs (prompt injection, semantic ambiguity, code-switching) can cause unsafe outputs. Calibration may degrade under distribution shift and drift over time, requiring continuous monitoring. Compute and storage costs for multi-site LLM fine-tuning and synthetic generation are high. Generalization risk: performance may not transfer to unobserved settings, languages, or cultural contexts. Legal and regulatory constraints may limit data sharing and public release of artifacts. Clinician adoption risks: alert fatigue and workflow disruption if false-positive rates are high at low prevalence.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