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german_minority_archive_affect_2024</w:t>
      </w:r>
    </w:p>
    <w:p>
      <w:r>
        <w:t xml:space="preserve"> </w:t>
      </w:r>
    </w:p>
    <w:p>
      <w:pPr>
        <w:pStyle w:val="Heading2"/>
      </w:pPr>
      <w:r>
        <w:t>Title</w:t>
      </w:r>
    </w:p>
    <w:p>
      <w:r>
        <w:t>A mixed-methods empirical evaluation of the affective, social, and personal impacts of engagement with a German minority community archive in Silesia</w:t>
      </w:r>
    </w:p>
    <w:p>
      <w:r>
        <w:t xml:space="preserve"> </w:t>
      </w:r>
    </w:p>
    <w:p>
      <w:pPr>
        <w:pStyle w:val="Heading2"/>
      </w:pPr>
      <w:r>
        <w:t>Short Hypothesis</w:t>
      </w:r>
    </w:p>
    <w:p>
      <w:r>
        <w:t>Structured engagement with the community archive causes a measurable increase in participants' cultural identity and social connectedness compared to a waitlist control, as assessed immediately post-engagement and at six-month follow-up.</w:t>
      </w:r>
    </w:p>
    <w:p>
      <w:r>
        <w:t xml:space="preserve"> </w:t>
      </w:r>
    </w:p>
    <w:p>
      <w:pPr>
        <w:pStyle w:val="Heading2"/>
      </w:pPr>
      <w:r>
        <w:t>Related Work</w:t>
      </w:r>
    </w:p>
    <w:p>
      <w:r>
        <w:t>Prior studies report that community and independent archives can support cultural identity, social cohesion, and personal fulfillment. Existing approaches are mainly descriptive or single-site case studies, use small convenience samples, and often lack validated child-focused measures, pre-registered analytic plans, and enforceable consent-to-metadata pipelines. Quantitative work rarely accounts for family clustering or uses mixed-effects models for repeated measures. Technical studies describe repository stacks and metadata mappings but seldom integrate those systems with consent enforcement, takedown logging, or differential-privacy controls. Gaps include weak statistical specificity, limited psychometric validation for minority children, lack of differential privacy specification for small populations, and incomplete operationalization of consent revocation in metadata and access control.</w:t>
      </w:r>
    </w:p>
    <w:p>
      <w:r>
        <w:t xml:space="preserve"> </w:t>
      </w:r>
    </w:p>
    <w:p>
      <w:pPr>
        <w:pStyle w:val="Heading2"/>
      </w:pPr>
      <w:r>
        <w:t>Abstract</w:t>
      </w:r>
    </w:p>
    <w:p>
      <w:r>
        <w:t>This study evaluates whether structured archival engagement with the German Minority Research Center in Silesia produces measurable affective, social, and personal effects across children, adolescents, adults, and elders. We combine a mixed-methods trial (baseline, immediate post, six-month follow-up) with repository analytics and a pilot digitization of ~100 items. Quantitative measures include culturally adapted affect and identity scales for children (PANAS-C adapted, Social Connectedness, Family Identity Inventory) and wellbeing items; qualitative data include interviews, memory maps, and child-friendly tasks. Analysis uses mixed-effects models that account for family clustering and repeated measures, and pre-registered codebooks triangulate survey change-scores with narrative themes and usage logs. Main contributions are: (1) a reproducible, pre-registered protocol linking archival practice to measured psychosocial outcomes, (2) psychometric validation of child-focused instruments in a minority context, and (3) a practical crosswalk between item-level consent flags and enforceable metadata actions. Expected impact: clearer evidence on how community archives affect identity and cohesion and operational templates for ethically robust archival research.</w:t>
      </w:r>
    </w:p>
    <w:p>
      <w:r>
        <w:t xml:space="preserve"> </w:t>
      </w:r>
    </w:p>
    <w:p>
      <w:pPr>
        <w:pStyle w:val="Heading2"/>
      </w:pPr>
      <w:r>
        <w:t>Experiments</w:t>
      </w:r>
    </w:p>
    <w:p>
      <w:r>
        <w:t>Datasets: (A) August 2024 interview transcripts and recordings (N≈50) from the German Minority Research Center in Silesia; (B) pilot archive items (≈100 digitized items: photos, documents, audio); (C) participant sample recruited across four cohorts: children 6–8, children 9–12, adolescents 13–17, adults/elders; target recruit = 75 per cohort (total 300) to achieve ~64 analyzable per cohort after attrition. Design: randomized waitlist-controlled engagement trial. Randomize consenting family clusters to immediate engagement (treatment) or waitlist (control). Intervention: guided archival engagement session(s) using co-created materials. Measurements: baseline (T0), immediate post (T1), six-month follow-up (T2). Instruments: adapted PANAS-C (affect), Social Connectedness Scale, Family Identity Inventory, selected KIDSCREEN items (wellbeing), SUS (system usability for digital interface). Repository metrics: metadata completeness, IIIF manifest validity, digitization QC pass rate, usage analytics (time-on-item, click paths). Baselines for comparison: (1) waitlist control, (2) active comparator — standard local-history lesson without archive materials. Evaluation metrics: primary outcome = change in Family Identity Inventory score from T0 to T1 and T2; report Cohen's d, estimated marginal means; primary inferential test = linear mixed-effects model: outcome_ij ~ time * arm + (1|family_id) + (1|participant_id) + covariates(language, age_cohort, gender). Secondary metrics: PANAS-C change, Social Connectedness change, SUS, metadata/technical KPIs. Model specifics: use REML estimation, report intraclass correlation (ICC), 95% CI, p-values, and adjusted p-values via Benjamini-Hochberg for multiple comparisons. Missing data: report patterns, perform multiple imputation (m=20) under MAR assumption, and run complete-case sensitivity. Ablation studies: (A) remove family-level random effect to quantify bias from ignoring clustering; (B) analyze effect sizes when excluding participants for whom consent flag restricts usage (tests operational enforcement impact); (C) compare results using alternative scoring algorithms (sum scores vs. factor scores from CFA). Pre-registration: deposit codebook, analytic scripts, and model specifications before data lock. Power: target power 0.8 to detect Cohen's d≈0.5 per cohort. All models and code reproducible and version-controlled.</w:t>
      </w:r>
    </w:p>
    <w:p>
      <w:r>
        <w:t xml:space="preserve"> </w:t>
      </w:r>
    </w:p>
    <w:p>
      <w:pPr>
        <w:pStyle w:val="Heading2"/>
      </w:pPr>
      <w:r>
        <w:t>Risk Factors And Limitations</w:t>
      </w:r>
    </w:p>
    <w:p>
      <w:r>
        <w:t>Small population size: recruitment may fail to reach targets in a localized minority; low sample size reduces power and generalizability. Family clustering: high intra-family correlation can reduce effective sample size. Measurement risk: adapted child instruments may not achieve measurement invariance; CFA fit indices (CFI/TLI/RMSEA) could fail, invalidating cross-cohort comparisons. Consent dynamics: technical or legal failures to enforce consent flags or process revocations could produce unauthorized disclosures. Privacy risk: small-cell analytics and identifiable AV material raise re-identification risk in outputs. Differential privacy trade-offs: adding noise may reduce utility for small samples. Technical failure modes: system outages, corrupted fixity, or lost encryption keys (key-management failures) that hinder access or recovery. Legal/jurisdictional constraints: GDPR Article 8 age exceptions and cross-border transfer rules may complicate consent and data sharing. Social risks: contested items or CAB disputes could halt dissemination or damage trust. Evaluation bias: self-selection of participants who are already engaged with heritage could overestimate effects. No mitigation steps are listed here.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