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impact_vc_decerteau</w:t>
      </w:r>
    </w:p>
    <w:p>
      <w:r>
        <w:t xml:space="preserve"> </w:t>
      </w:r>
    </w:p>
    <w:p>
      <w:pPr>
        <w:pStyle w:val="Heading2"/>
      </w:pPr>
      <w:r>
        <w:t>Title</w:t>
      </w:r>
    </w:p>
    <w:p>
      <w:r>
        <w:t>Mixed-methods field experiments and ethnography to test how impact venture capitalists navigate ambiguity in defining social and environmental impact to access new markets, founders, and capital</w:t>
      </w:r>
    </w:p>
    <w:p>
      <w:r>
        <w:t xml:space="preserve"> </w:t>
      </w:r>
    </w:p>
    <w:p>
      <w:pPr>
        <w:pStyle w:val="Heading2"/>
      </w:pPr>
      <w:r>
        <w:t>Short Hypothesis</w:t>
      </w:r>
    </w:p>
    <w:p>
      <w:r>
        <w:t>Embedding local, regionally based sourcing teams (versus remote centralized sourcing) increases the conversion rate from screened lead to term-sheet by at least 10 percentage points within 12 months.</w:t>
      </w:r>
    </w:p>
    <w:p>
      <w:r>
        <w:t xml:space="preserve"> </w:t>
      </w:r>
    </w:p>
    <w:p>
      <w:pPr>
        <w:pStyle w:val="Heading2"/>
      </w:pPr>
      <w:r>
        <w:t>Related Work</w:t>
      </w:r>
    </w:p>
    <w:p>
      <w:r>
        <w:t>Existing work shows impact investors use networks, local intermediaries, blended finance, and adaptive deal-structures to reach underserved founders and mobilize capital. Prior studies rely heavily on descriptive case studies, small-N ethnographies, or cross-sectional portfolio analyses and often report inconsistent impact metrics. Limitations include weak causal identification (few pre-registered experiments), inconsistent or non-standardized indicators across funds, lack of jurisdictional legal and tax stress-testing, scarce reproducible power analyses, and limited documentation of privacy parameters for sensitive deal data. Comparative gaps: previous approaches document strategies but rarely test counterfactuals (what would happen without local embedding), rarely publish code and synthetic data for replication, and usually omit formal exogeneity proofs for instrumental variables or RD designs.</w:t>
      </w:r>
    </w:p>
    <w:p>
      <w:r>
        <w:t xml:space="preserve"> </w:t>
      </w:r>
    </w:p>
    <w:p>
      <w:pPr>
        <w:pStyle w:val="Heading2"/>
      </w:pPr>
      <w:r>
        <w:t>Abstract</w:t>
      </w:r>
    </w:p>
    <w:p>
      <w:r>
        <w:t>Impact venture capitalists must operate with an ambiguous, contested definition of "impact" while sourcing founders, entering new markets, and raising capital. This project uses a mixed-methods approach that combines field experiments, causal inference, and ethnographic observation informed by Michel de Certeau's ideas about tactical practices. We test whether tactical choices (for example, embedding local sourcing teams, cohort-based selection, productized founder support, and catalytic first-loss structures) causally change concrete outcomes: deal conversion, founder survival, follow-on capital, and leverage per catalytic dollar. Main contributions are: (1) pre-registered experimental designs and published power/simulation code, (2) a Core Set of standardized metrics mapped to IRIS+/SDG, and (3) integrated qualitative mechanisms that explain how ambiguous definitions are mobilized in practice. Expected outcome: clear, testable evidence on which tactics increase market access and capital mobilization and transparent reproducible assets (code, synthetic data, pre-analysis plans) to support policy and investor governance decisions.</w:t>
      </w:r>
    </w:p>
    <w:p>
      <w:r>
        <w:t xml:space="preserve"> </w:t>
      </w:r>
    </w:p>
    <w:p>
      <w:pPr>
        <w:pStyle w:val="Heading2"/>
      </w:pPr>
      <w:r>
        <w:t>Experiments</w:t>
      </w:r>
    </w:p>
    <w:p>
      <w:r>
        <w:t>Datasets: partner deal-flow logs (lead screening, term-sheets, investments), company financials (revenues, payroll), follow-on funding records, national business registries, payment-transaction aggregates (where available), structured founder surveys, and coded ethnographic transcripts. Baselines: status-quo remote centralized sourcing; historical matched portfolios; and no-intervention cohorts. Primary experiment (cluster RCT): randomize ~40 comparable regions (20 treatment = embedded local sourcing team, 20 control = remote sourcing). Expected baseline conversion p0=0.10; target MDE=+0.10. Units: screened leads; cluster = region. Analysis: intent-to-treat (ITT) using cluster-robust logistic regression; report risk differences with cluster-adjusted standard errors and 95% CIs. Assume ICC range 0.01–0.10; publish power code (R/Python) and Monte Carlo simulations varying ICC, attrition (0–30%), and compliance. Secondary experiments: (a) cohort peer-selection randomized encouragement (founder cohorts ~200 per arm) with primary outcomes 18-month survival and follow-on fundraising; analyze with ITT and propensity-score matched sensitivity; (b) productized support randomized encouragement (n≈200 founders) with time-to-revenue analyzed via Cox proportional hazards (survival analysis); (c) first-loss catalytic evaluation using difference-in-differences (DID) across fundraises and IV where anchor-LP timing is instrument (report F-statistics and weak-instrument tests). Ablation study: within embedded arm, remove formal SLA covenants in a randomized sub-arm to test covenant effect on conversion and trust indicators. Metrics: conversion rate (term-sheets/screened leads), time-to-invest (days), follow-on capital ($), revenue growth (% over 12–24 months), customers/users growth, employment FTEs, leverage ratio (total capital mobilized per catalytic dollar). Robustness: permutation inference, placebo outcomes, balance tests, Lee bounds for attrition, and pre-registered alternative estimators. Pre-specification: publish pre-analysis plans, simulated power notebooks, and synthetic datasets for replication.</w:t>
      </w:r>
    </w:p>
    <w:p>
      <w:r>
        <w:t xml:space="preserve"> </w:t>
      </w:r>
    </w:p>
    <w:p>
      <w:pPr>
        <w:pStyle w:val="Heading2"/>
      </w:pPr>
      <w:r>
        <w:t>Risk Factors And Limitations</w:t>
      </w:r>
    </w:p>
    <w:p>
      <w:r>
        <w:t>Numeric and power risk: true intracluster correlation (ICC), compliance rates, or attrition may differ from assumptions causing underpowered tests. Data availability risk: partner administrative feeds or fintech APIs may be delayed or restricted, reducing measurement quality. Identification risk: proposed instruments (e.g., anchor-LP timing) may violate exclusion restrictions (meaning they may affect outcomes through other channels), weakening causal claims. Privacy/legal risk: cross-border data transfer, re-identification risk from hashed linkage, and divergent national privacy laws may constrain data sharing. Generalization limits: results from three pilot jurisdictions may not generalize to other regulatory or cultural contexts. Ethical limits: consent and welfare measures may bias samples if vulnerable founders opt out. Scalability/compute: Monte Carlo simulations and large linked datasets require compute resources; limited compute may restrict scenario exploration. Mission risk: interventions (e.g., catalytic capital) may cause market distortion or mission drift not captured within pilot timeline.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