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Mixed-methods experimental and computational study of how business leaders' populist messaging shapes consumer behavior and regulatory attitudes</w:t>
      </w:r>
    </w:p>
    <w:p>
      <w:r>
        <w:t xml:space="preserve"> </w:t>
      </w:r>
    </w:p>
    <w:p>
      <w:pPr>
        <w:pStyle w:val="Heading2"/>
      </w:pPr>
      <w:r>
        <w:t>Short Hypothesis</w:t>
      </w:r>
    </w:p>
    <w:p>
      <w:r>
        <w:t>Exposure to business leaders' consumption-populist messaging increases consumers' purchase intent for targeted products and reduces their support for industry regulation compared to exposure to neutral brand messaging.</w:t>
      </w:r>
    </w:p>
    <w:p>
      <w:r>
        <w:t xml:space="preserve"> </w:t>
      </w:r>
    </w:p>
    <w:p>
      <w:pPr>
        <w:pStyle w:val="Heading2"/>
      </w:pPr>
      <w:r>
        <w:t>Related Work</w:t>
      </w:r>
    </w:p>
    <w:p>
      <w:r>
        <w:t>Prior work shows that firms and leaders use nationalistic or moralized rhetoric to influence consumers and that political populist rhetoric mobilizes affect and identity. Marketing research studies brand authenticity and moral signaling but treats political framing as background; political communication research measures populist frames primarily for parties and politicians. Computational work detects political populism in text but typically focuses on political actors, single languages, or unimodal data (text only). Limitations across these approaches include: (1) lack of a validated, multi-dimensional scale specific to consumption-populism; (2) limited multimodal and multilingual corpora of firm-led messaging; (3) few causal tests linking leader messaging to consumer behavior and policy attitudes; and (4) insufficient harmonization of manual coding, classifier training, and causal identification strategies. These gaps prevent clear claims about mechanism, scope, and downstream regulatory impacts.</w:t>
      </w:r>
    </w:p>
    <w:p>
      <w:r>
        <w:t xml:space="preserve"> </w:t>
      </w:r>
    </w:p>
    <w:p>
      <w:pPr>
        <w:pStyle w:val="Heading2"/>
      </w:pPr>
      <w:r>
        <w:t>Abstract</w:t>
      </w:r>
    </w:p>
    <w:p>
      <w:r>
        <w:t>This study investigates whether and how business leaders' populist-style messaging—framing a moral 'people' against elites and inviting collective consumer action—alters consumer choices and attitudes toward regulation. We combine annotated multimodal corpora, pre-registered experiments, and quasi-experimental firm-level analyses. First, we build and validate a four-dimension consumption-populism scale and a hierarchical, multilingual codebook applied to a 20,000-item corporate-communication corpus. Second, we run a lab 2×2 experiment (N=1,200) and a large online field A/B test (N=10,000) that vary populist framing, leader personalization, and plebiscitary features; primary outcomes are purchase intent, willingness-to-pay, perceived brand authenticity, and support for regulation. Third, we test external validity with staggered difference-in-differences and synthetic-control analyses around firm events. Contributions: a validated measurement instrument, reproducible NLP classifiers, and causal evidence on the behavioral and political effects of consumption populism. Expected impact: clearer empirical grounding for policy responses to persuasive corporate populist tactics.</w:t>
      </w:r>
    </w:p>
    <w:p>
      <w:r>
        <w:t xml:space="preserve"> </w:t>
      </w:r>
    </w:p>
    <w:p>
      <w:pPr>
        <w:pStyle w:val="Heading2"/>
      </w:pPr>
      <w:r>
        <w:t>Experiments</w:t>
      </w:r>
    </w:p>
    <w:p>
      <w:r>
        <w:t>Datasets: (1) Annotated multimodal corpus: 20,000 corporate items stratified by sector (consumer staples, tech, platforms, retail), CEO visibility, platform (Twitter/X, YouTube, Facebook pages), and language (Hindi, English, one other language); dual-coded overlap 25% with adjudicated gold set ≈4,000. (2) Lab experiment: N=1,200, between-subjects 2×2 factorial (populist frame vs neutral) × (plebiscitary device vs none). Stimuli: matched ads/posts with text ± image/video. (3) Online field A/B: N≈10,000 platform users randomized to real in-app plebiscitary feature vs standard CTA; outcomes measured behaviorally (click-through, conversion) and attitudinally (short surveys). (4) Panel durability: N=2,500 baseline + two follow-ups to measure persistence. Baselines: neutral brand messaging; authenticity-only messaging (moralized product claims without people-vs-elites frame); political-party populist text applied to non-brand actor (control for generic populist language). Models and causal estimators: pre-registered OLS/GLM with covariates, clustering by participant or firm as appropriate; staggered difference-in-differences with Callaway &amp; Sant’Anna and Sun &amp; Abraham corrections (these are methods to handle treatments that start at different times), synthetic-control for firm shocks, and event-study specifications with leads/lags. Evaluation metrics: primary — purchase intent scale (0–100), incentivized willingness-to-pay (WTP in currency units), perceived brand authenticity score (scale), support for regulation (binary and scale); secondary — engagement metrics (CTR, conversion), classifier F1/precision/recall per class, and Krippendorff’s alpha for annotation reliability. Statistical rules: Holm-Bonferroni familywise error control across four primary outcomes; report effect sizes (Cohen's d, differences in percentage points) and 95% CIs. Ablations: (A) remove affective cues (neutral tone) to test role of affect; (B) remove CEO personalization to test leader embodiment; (C) modality ablation: text-only vs text+image vs video; (D) classifier ablation: full multilingual model vs language-specific fine-tuning. Mediation tests: sequential measurement (treatment → mediator at T1 → outcome at T2) and experimental-mediation where feasible; report VanderWeele sensitivity bounds (a formal sensitivity check for mediation assumptions). NLP pipeline details (concise): fine-tune XLM-R (multilingual transformer) with active-learning loop; hyperparameter ranges: learning rate {1e-5,3e-5,5e-5}, batch size {16,32}, epochs {3,5}; report GPU-hours and model seeds. Baseline classifier: logistic regression on TF-IDF features. Temporal validation: train/test splits by time and event to check concept drift.</w:t>
      </w:r>
    </w:p>
    <w:p>
      <w:r>
        <w:t xml:space="preserve"> </w:t>
      </w:r>
    </w:p>
    <w:p>
      <w:pPr>
        <w:pStyle w:val="Heading2"/>
      </w:pPr>
      <w:r>
        <w:t>Risk Factors And Limitations</w:t>
      </w:r>
    </w:p>
    <w:p>
      <w:r>
        <w:t>Technical failure modes: low intercoder reliability (Krippendorff’s α &lt; 0.70) undermines training labels; classifier poor generalization across languages or modalities; concept drift where models fail on new events. Data and evaluation biases: platform samples may not represent national populations (limited external validity); political ideology and SES confounders may bias observed effects. Scalability and compute: multilingual multimodal models require GPUs and substantial training time; compute limits may force smaller models with lower performance. Causal limitations: nonrandom exposure in observational data can leave residual confounding; staggered-DiD assumptions (parallel trends) may be violated. Missing data and attrition: panel dropout can bias persistence estimates if nonrandom. Legal and access constraints: platform MOUs may be denied or delayed, reducing available data. Ethical risk: experiments that expose participants to exclusionary or polarizing messages may harm vulnerable groups; IRB constraints may limit field interventions. Generalization limits: findings from the focal case(s) or countries may not transfer to different political cultures or less CEO-centric firms.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