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authentic_assessment_ai_concealment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cluster-randomized trial testing whether process-based authentic tasks reduce undetected AI-assisted submissions in online higher-education assessments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Implementing process-based authentic assessment tasks causes an absolute reduction of 10 percentage points in the prevalence of undetected AI-assisted submissions compared with traditional assessments.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has two main strands: (1) detector-focused approaches that apply stylometry (writing-style features), model log-probabilities, and semantic classifiers to flag likely AI-generated content; and (2) instructional approaches advocating authentic assessment design (real-world tasks, staged deliverables, oral components) to discourage cheating. Limitations of detector-focused work include high false positive rates in low-prevalence settings, sensitivity to editing and paraphrasing (adversarial robustness problems), fairness gaps for non-native language users and different disciplines, and weak external validity because many studies use synthetic corpora rather than live course data. Instructional proposals are promising but lack large-scale, preregistered causal tests and often do not quantify how much concealment behavior changes. Few studies combine process traces (authoring logs), self-report, and blinded adjudication to form gold labels, or run red-team (adversarial) evaluations at scale. Privacy and legal reporting constraints are also under-addressed.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process-based authentic assessment tasks reduce undetected use and concealment of generative AI in online higher-education assignments. We combine a cluster-randomized trial (course sections randomized to authentic vs traditional tasks), multimodal process instrumentation (time-stamped drafts, optional keystroke/screen traces), forensic detection ensembles, and blinded adjudication to label AI assistance. Main contributions are: (1) a preregistered experimental estimate of the causal effect of authentic tasks on undetected AI-assisted submissions; (2) an interpretable concealment typology derived from editing-rate bins (0–10%, 10–40%, 40–70%, &gt;70%) and latent-class models; and (3) operational decision rules and detector operating-point simulations showing expected false positives/negatives per 1,000 submissions (cost trade-offs). Expected outcome: empirical evidence on whether design-focused assessment changes prevalence and forms of concealed AI use, informing policy choices that balance learning value, fairness, and investigatory risk.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Phase-1 pilot: one discipline, 8 sections, ~240 students for feasibility. (B) Main trial: multi-site, cluster-randomized trial with 16 sections (~480 students total), stratified by discipline and prior AI exposure. (C) Instrumented paired corpus: forensics training data composed of student originals, pure-AI outputs, and hybrid human-edited AI outputs generated at controlled editing-rate bins (0–10%, 10–40%, 40–70%, &gt;70%). Baselines: (1) traditional assessment condition (control), (2) authentic-task condition (treatment), (3) detector baselines: stylometry-only, model-log-probability-only, and full ensemble (ensemble = log-probabilities + stylometry + semantic embeddings + process metadata). Evaluation metrics: primary outcome = prevalence of undetected AI-assisted submissions (undetected = adjudicated-AI label but not flagged by instructor action); detection metrics = PPV (positive predictive value), FPR (false positive rate) per assignment, AUC; learning outcomes = standardized course scores (Cohen's d), target d≈0.5; concealment metrics = token-change rate (percent tokens altered), structural-transformation score (sentence reordering index), paraphrase distance (embedding cosine distance); operational metrics = expected false positives and false negatives per 1,000 submissions at chosen thresholds. Experimental setup: randomize course sections to conditions; preregister primary estimand (intent-to-treat) and secondary complier-average-causal-effect; instrument submissions with versioning and optional opt-in keystroke/screen capture; adjudication: blinded three-expert panel with ≥2/3 consensus and report Cohen's kappa. Statistical analysis: mixed-effects logistic regression (random intercepts for section), covariates: prior AI exposure, GPA, English proficiency, fidelity score; multiple imputation for missingness; Benjamini–Hochberg correction for families of tests. Ablation studies: (A) ablate process metadata from the ensemble to measure added value of authoring traces; (B) ablate per-student longitudinal baselines to measure calibration effect; (C) vary detector thresholds and simulate costs at prevalences 5%, 10%, 20%. Red-team evaluation: incentivized concealment sweeps across the paired corpus using paraphrase chains, back-translation, targeted human edits; measure detector performance across editing bins.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Selection and consent bias: opt-in for keystroke/screen capture may bias samples and affect prevalence estimates (missing-not-at-random risk). Detector robustness: adversarial editing, paraphrasing, and multi-model composition can reduce detector sensitivity, especially at higher editing-rate bins. False positives: non-negligible false positives can harm students if used for punitive action (legal and reputational risks). Fairness: detectors may perform worse for non-native English speakers or across disciplines with different writing norms. Differential privacy trade-offs: applying strong DP (small ε) can degrade utility of published aggregates. Resource and scaling limits: instrumenting LMS, storing traces, running ensembles and red-team sweeps require compute and staff; may be hard to sustain beyond pilots. Labeling subjectivity: adjudication decisions can vary and change estimates; inter-rater consistency may be imperfect. Generalization limits: results from participating institutions, disciplines, and task templates may not generalize to other contexts or future LLM capabilities.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