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experiences_ethical_review_ssh</w:t>
      </w:r>
    </w:p>
    <w:p>
      <w:r>
        <w:t xml:space="preserve"> </w:t>
      </w:r>
    </w:p>
    <w:p>
      <w:pPr>
        <w:pStyle w:val="Heading2"/>
      </w:pPr>
      <w:r>
        <w:t>Title</w:t>
      </w:r>
    </w:p>
    <w:p>
      <w:r>
        <w:t>Sequential mixed-methods evaluation of Swedish social science and humanities researchers' experiences with ethical review</w:t>
      </w:r>
    </w:p>
    <w:p>
      <w:r>
        <w:t xml:space="preserve"> </w:t>
      </w:r>
    </w:p>
    <w:p>
      <w:pPr>
        <w:pStyle w:val="Heading2"/>
      </w:pPr>
      <w:r>
        <w:t>Short Hypothesis</w:t>
      </w:r>
    </w:p>
    <w:p>
      <w:r>
        <w:t>Providing discipline-specific, streamlined ethical review guidance causes a measurable decrease in researchers' perceived procedural burden and increases the probability that researchers retain their planned research design.</w:t>
      </w:r>
    </w:p>
    <w:p>
      <w:r>
        <w:t xml:space="preserve"> </w:t>
      </w:r>
    </w:p>
    <w:p>
      <w:pPr>
        <w:pStyle w:val="Heading2"/>
      </w:pPr>
      <w:r>
        <w:t>Related Work</w:t>
      </w:r>
    </w:p>
    <w:p>
      <w:r>
        <w:t>Prior work documents that ethical review processes for social science and humanities (SSH) are often experienced as lengthy, bureaucratic, and misaligned with SSH methods. Approaches include single-method surveys of researcher attitudes, isolated qualitative case studies of REC interactions, and legal reviews of regulatory texts. Limitations across existing approaches: many are single-method (either only survey or only interviews), use small or convenience samples, lack pre-specified analytic decision rules, and rarely integrate REC decision documents or model disclosure risk. Experimental vignette studies exist but are underpowered or omit multilevel clustering (researchers nested in institutions). Work on data disclosure (k-anonymity, differential privacy) is typically technical and not applied to REC document-sharing in SSH settings. Few studies combine legal feasibility, re-identification risk modelling, and stakeholder-driven policy testing in a single, pre-registered mixed-methods design.</w:t>
      </w:r>
    </w:p>
    <w:p>
      <w:r>
        <w:t xml:space="preserve"> </w:t>
      </w:r>
    </w:p>
    <w:p>
      <w:pPr>
        <w:pStyle w:val="Heading2"/>
      </w:pPr>
      <w:r>
        <w:t>Abstract</w:t>
      </w:r>
    </w:p>
    <w:p>
      <w:r>
        <w:t>This study investigates how Sweden's ethical review system affects social science and humanities researchers and which reforms reduce procedural burden without sacrificing participant protection. We use a sequential explanatory mixed-methods design: a large stratified survey (N=1,000–1,200) with factorial vignettes to test causal drivers of perceived burden and behavioral intent, followed by purposive group interviews (seven semi-structured groups, ~18 researchers) and document analysis of REC decisions. Main contributions are (1) pre-registered integration rules and decision flows to resolve discrepant evidence, (2) multilevel quantitative inference accounting for clustering by institution, and (3) an applied disclosure governance plan including DPIA milestones and a Disclosure Review Board. Expected outcomes include quantified effect sizes for policy options (e.g., expedited templates, discipline-specific guidance), validated qualitative meta-themes explaining mechanisms, and practical toolkits for RECs and researchers to improve timeliness and clarity of review.</w:t>
      </w:r>
    </w:p>
    <w:p>
      <w:r>
        <w:t xml:space="preserve"> </w:t>
      </w:r>
    </w:p>
    <w:p>
      <w:pPr>
        <w:pStyle w:val="Heading2"/>
      </w:pPr>
      <w:r>
        <w:t>Experiments</w:t>
      </w:r>
    </w:p>
    <w:p>
      <w:r>
        <w:t>Datasets: (a) Survey: stratified sample frame compiled from university HR lists, national SSH associations, funder/grant databases, and Etikprövningsmyndigheten registry; target N=1,000–1,200 with strata for discipline (≥100 per major discipline), career stage (≥50 per stage), and institution type. (b) Vignettes: factorial experiment manipulating data sensitivity, identifiability, consent model, and international collaboration (2x2x2 baseline; use fractional factorial if needed). (c) Qualitative: seven semi-structured group interviews (n≈18) plus targeted follow-ups; ethical diaries for selected participants. (d) Documents: public Etikprövningsmyndigheten decisions and negotiated internal REC decisions under DAAs. Baselines: status-quo (no streamlined guidance), generic guidance, and discipline-specific guidance; analytic baselines include simple logistic regression and single-level OLS. Evaluation metrics: primary — perceived procedural burden (Likert score), retention of planned design (binary), time-to-approval (days); secondary — institutional trust (scale), frequency of DPIA recommendations in documents. Privacy metrics: k-anonymity level (k, where k means each record is indistinguishable from k-1 others), re-identification risk estimate, and synthetic data utility (RMSE and distributional KS statistic). Experimental setup: pre-register analysis and MDEs; randomize vignette assignments; analyze with multilevel mixed-effects models (random intercepts for institution) to estimate treatment effects and interactions; compute design effects using pilot ICCs (intraclass correlation coefficient, a measure of within-cluster similarity) and adjust MDEs. Comparison/ablation studies: (1) full factorial vs fractional factorial vignette designs to compare power and bias; (2) survey-only analysis vs integrated survey+qualitative joint-display to measure added explanatory power (compare changes in explained variance and qualitative-coded mechanisms); (3) data-release methods ablation: raw de-identified microdata (controlled) vs synthetic data vs differentially private aggregates to compare utility vs disclosure risk.</w:t>
      </w:r>
    </w:p>
    <w:p>
      <w:r>
        <w:t xml:space="preserve"> </w:t>
      </w:r>
    </w:p>
    <w:p>
      <w:pPr>
        <w:pStyle w:val="Heading2"/>
      </w:pPr>
      <w:r>
        <w:t>Risk Factors And Limitations</w:t>
      </w:r>
    </w:p>
    <w:p>
      <w:r>
        <w:t>Low response rates leading to biased samples and reduced power; selection bias if respondents differ systematically from nonrespondents. Legal/access risk: inability to obtain internal REC decisions under DAAs. Coding and measurement error in qualitative/legal coding causing misclassification. Small qualitative sample limits statistical generalization of qualitative subgroups. Multilevel dependence: high intraclass correlation (ICC) can inflate required sample sizes. Disclosure risk: re-identification of sensitive cases in documents or quotes despite redaction. Technical limits: implementing differential privacy may reduce utility for small subgroups (privacy-utility tradeoff); synthetic data may not preserve complex dependencies. Generalizability: findings may be specific to Swedish regulatory context and not directly transferable to other jurisdictions. Resource constraints: delays in DAAs, DPIA approvals, or legal review can disrupt timeline. Computational: large-scale re-identification risk modelling or DP algorithms may require specialized compute and expertise.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