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homogeneity_risk_perceptions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Text-mining-based measurement of firm-level risk-perception homogeneity and its causal effect on systemic financial risk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rise in within-peer-group homogeneity of firms' perceived downside risk, measured from risk-factor disclosure texts, causally increases sector-level systemic risk as measured by CoVaR and SRISK.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builds two broad strands: (1) text-based firm risk measurement using lexicons, bag-of-words, or single-model sentiment scores to infer firm risk perceptions; and (2) systemic-risk and network contagion models using market-implied measures (CoVaR, SRISK, CDS spreads) or balance-sheet exposures. Limitations of current approaches include: single-signal reliance (text or options alone) that ignores complementary market and balance-sheet signals; weak treatment of text-model uncertainty and optimism/forward-language bias; limited causal identification (few credible exogenous shocks or weak-IV diagnostics); scarce propagation of firm-level measurement uncertainty into macro/systemic estimates; and limited, ad-hoc mapping from econometric effects to agent-based contagion parameters. There is also insufficient use of long-document NLP models for full disclosure texts and inadequate validation across crisis episodes and jurisdictions.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alignment in firms' stated risk perceptions increases systemic financial risk. We extract perceived downside risk from firms' public risk disclosures and related texts using domain-adapted long-document transformers, then fuse these textual signals with option-implied tail metrics, analyst dispersion, CDS/bond spreads, and balance-sheet proxies in a Bayesian hierarchical latent-factor model (a statistical model that infers hidden risk factors and quantifies uncertainty). From posterior draws we compute time-varying homogeneity indices (pairwise correlations, entropy, PCA variance explained). For causal inference we leverage documented exogenous shocks (regulatory phased reporting, audited platform outages, broker-coverage disruptions) as instruments and use staggered difference-in-differences estimators. We map estimated causal effects to calibrated agent-based network contagion models via simulated-method-of-moments to assess amplification of CoVaR and SRISK. The contribution is a reproducible pipeline that yields uncertainty-aware homogeneity measures, credible causal estimates of their systemic impact, and calibrated policy-relevant contagion simulations.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EDGAR 10-K/MD&amp;A and risk-factor texts; earnings-call and conference transcripts; OptionMetrics option-implied tails; CRSP/Compustat prices and fundamentals; TRACE bond trades; CDS spread panels; DealScan syndicated-loan exposures; FR Y-9C supervisory bank filings; broker coverage histories; auditor/registry logs for platform outages. Time window: 2005–2022, with crisis holdouts (2008, 2020). Baselines: (A) lexicon-based risk-counts from disclosures, (B) bag-of-words TF-IDF risk classifier, (C) option-implied-only tail measures, (D) single-signal transformer without market fusion. Proposed method: domain-adapted Longformer/BigBird embeddings, fusion in Bayesian hierarchical latent-factor model producing posterior firm-level downside scores; homogeneity indices: pairwise Pearson correlation, entropy (measure of concentration), Herfindahl, PCA variance explained, and network-centrality-weighted coherence. Causal identification: 2SLS (two-stage least squares) regressions with instruments: reporting phase-in timing, audited platform outages, exogenous broker-coverage shocks; report first-stage F, partial R2, Sanderson–Windmeijer, Cragg–Donald; weak-IV-robust inference via Anderson–Rubin and Chernozhukov tests; overidentification via Hansen J. Staggered treatment: implement Callaway–Sant’Anna and Sun–Abraham estimators for heterogeneous timing. Measurement-error propagation: carry posterior draws into second-stage via multiple imputation and compare with SIMEX (simulation-extrapolation) errors-in-variables estimator. ABM calibration: simulated-method-of-moments (SMM) and approximate Bayesian computation (ABC) mapping econometric posterior draws to agent response coefficients; acceptance distances on CoVaR, SRISK, cascade size, contagion speed. Evaluation metrics: causal effect estimates on CoVaR and SRISK (point estimate and 95% interval), change in aggregate CDS default probability, first-stage diagnostics (F-stat), instrument validity p-values (Hansen J), latent-score RMSE on held-out firms, posterior coverage (fraction of true holdout outcomes within credible intervals), ABM fit distances (SMM loss), and statistical power (MDE target 0.10–0.15 SD). Ablations: (1) remove market signals from fusion, (2) omit uncertainty propagation, (3) alternative peer definitions (NAICS3, revenue-decile, Louvain communities), (4) replace IVs with placebo timing permutations, (5) use DP-synthetic inputs to test privacy-utility tradeoffs. Implementation details: panel fixed-effects, multi-way clustered standard errors, seed PRNG control, Docker containers for reproducibility, targeted sample size 4,000–6,000 firm-year observations to attain ~80% power for MDEs.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NLP and measurement: transformer models may misclassify nuanced or obfuscated risk language, and forward-looking optimistic wording can bias textual downside signals. Measurement uncertainty: latent-factor scores may have large posterior uncertainty for thinly covered firms, hurting power. Instrument validity: proposed instruments (reporting phase-ins, outages, coverage shocks) may violate exclusion if they affect outcomes via other channels, producing biased IV estimates. Network endogeneity: tie formation and exposures are endogenous, complicating attribution between correlated shocks and contagion. Data access and privacy: supervisory microdata may be unavailable; differentially private synthetic data can distort tail dependence and network motifs critical for contagion analysis. Scalability and compute: Bayesian fusion and ABM calibration are compute-intensive (large memory and vCPU needs) and may limit full-sample runs. Generalization: results calibrated on U.S. markets and English texts may not transfer to other countries or languages. ABM mapping: translating average econometric effects into agent rules can be non-identifiable and sensitive to behavioral assumptions, producing model-dependent policy conclusions. Reproducibility: stochastic simulation and opaque randomness in some NLP training can hinder exact replication absent strict PRNG recording and containerized environments.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