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military_experience_audit_earnings_psx</w:t>
      </w:r>
    </w:p>
    <w:p>
      <w:r>
        <w:t xml:space="preserve"> </w:t>
      </w:r>
    </w:p>
    <w:p>
      <w:pPr>
        <w:pStyle w:val="Heading2"/>
      </w:pPr>
      <w:r>
        <w:t>Title</w:t>
      </w:r>
    </w:p>
    <w:p>
      <w:r>
        <w:t>Staggered difference-in-differences and instrumental-variable analysis of military-experienced directors' effects on audit quality and earnings management in Pakistani non-financial firms</w:t>
      </w:r>
    </w:p>
    <w:p>
      <w:r>
        <w:t xml:space="preserve"> </w:t>
      </w:r>
    </w:p>
    <w:p>
      <w:pPr>
        <w:pStyle w:val="Heading2"/>
      </w:pPr>
      <w:r>
        <w:t>Short Hypothesis</w:t>
      </w:r>
    </w:p>
    <w:p>
      <w:r>
        <w:t>Appointment of military-experienced directors to corporate boards causally reduces accrual-based and real earnings management and increases audit quality (higher probability of Big Four auditors and higher abnormal audit fees) in Pakistani non-financial firms.</w:t>
      </w:r>
    </w:p>
    <w:p>
      <w:r>
        <w:t xml:space="preserve"> </w:t>
      </w:r>
    </w:p>
    <w:p>
      <w:pPr>
        <w:pStyle w:val="Heading2"/>
      </w:pPr>
      <w:r>
        <w:t>Related Work</w:t>
      </w:r>
    </w:p>
    <w:p>
      <w:r>
        <w:t>Existing research has examined how board composition and director backgrounds affect earnings management and audit outcomes using firm fixed-effects, cross-sectional regressions, event studies, and some IV approaches. Prior studies find that military veterans on boards are associated with stronger governance and lower earnings manipulation, and that stronger audit quality (measured by Big Four choice, audit fees, or restatements) correlates with reduced earnings management. Limitations in current work include: reliance on coarse binary veteran indicators instead of graded time-varying measures; weak handling of staggered appointments and dynamic treatment effects (leading to biased DiD estimates); incomplete audit-quality measurement (single-proxy approaches); limited pre-registered measurement protocols and coder reliability reporting; and weak causal instruments or weak first stages. Rare outcomes such as restatements are often underpowered and not treated with rare-event methods. Cross-country harmonization and explicit handling of time-varying confounders remain underdeveloped.</w:t>
      </w:r>
    </w:p>
    <w:p>
      <w:r>
        <w:t xml:space="preserve"> </w:t>
      </w:r>
    </w:p>
    <w:p>
      <w:pPr>
        <w:pStyle w:val="Heading2"/>
      </w:pPr>
      <w:r>
        <w:t>Abstract</w:t>
      </w:r>
    </w:p>
    <w:p>
      <w:r>
        <w:t>This study evaluates whether the presence of military-experienced directors on corporate boards affects earnings management and audit quality in non-financial firms listed on the Pakistan Stock Exchange (2010–2022). We construct a time-varying Military Experience Index (MEI) at the director×year level that codes service, rank, leadership, combat, tenure, and recency, normalized to [0,1]. Using panel fixed-effects, staggered event-study estimators (Sun &amp; Abraham; Callaway &amp; Sant'Anna), and instrumented specifications exploiting exogenous veteran-supply shocks, we estimate MEI effects on accrual-based and real earnings management and on audit-quality proxies (Big Four auditor dummy, abnormal audit fees, restatement incidence, going-concern opinions). The main contribution is an integrated, preregistered workflow combining validated MEI coding (dual coding reliability), power/MDES analysis, multiple audit-quality proxies, errors-in-variables corrections, and rare-event-robust inference for restatements. Expected outcomes are empirically precise estimates of the causal effect of military board experience on reporting quality and audit behavior, informing governance policy in emerging markets.</w:t>
      </w:r>
    </w:p>
    <w:p>
      <w:r>
        <w:t xml:space="preserve"> </w:t>
      </w:r>
    </w:p>
    <w:p>
      <w:pPr>
        <w:pStyle w:val="Heading2"/>
      </w:pPr>
      <w:r>
        <w:t>Experiments</w:t>
      </w:r>
    </w:p>
    <w:p>
      <w:r>
        <w:t>Datasets: firm-year panel of non-financial firms listed on the Pakistan Stock Exchange (PSX) 2010–2022; director biographies from company filings, BoardEx/ISS (if available), company web bios, and LinkedIn; auditor data (auditor identity, audit fees, audit opinion dates) from filings and regulatory reports; accounting and control variables from firm financial statements and PSX/Datastream feeds; ICFR and restatement flags from regulatory filings. Sample construction: exclude financial firms (SIC/industry filter), require ≥3 years of pre-treatment data for event cohorts. MEI coding: director×year MEI (service 0/1; rank tier weights; leadership flag; combat flag; years of service; years-since-discharge) normalized to [0,1]; dual independent coders on 10–15% random sample with Cohen's kappa and Krippendorff's alpha reported. Baselines: (A) OLS firm and year fixed-effects panel (lagged controls); (B) staggered DiD event-study (Sun &amp; Abraham; Callaway &amp; Sant'Anna) with leads/lags t-3..t+3; (C) IV with distance-weighted veteran-supply shocks and base-closure exposure (first-stage F&gt;10); (D) propensity-score/entropy-balanced DiD; (E) errors-in-variables corrected models (SIMEX). Outcomes and metrics: modified-Jones absolute discretionary accruals (accrual-based EM), real-activity EM measures (abnormal production, abnormal discretionary expenses, abnormal cash flows), probability of Big Four auditor (binary), abnormal audit fees (residuals from log-linear fee model), restatement incidence (binary), going-concern opinion (binary), audit report lag (days). Statistical evaluation: coefficient estimates, clustered SEs at firm-level, wild-cluster bootstrap for small clusters, 95% confidence intervals, MDES reporting for each outcome (power 80%, alpha 0.05), multiple-testing corrections (Benjamini–Hochberg within families; Romano–Wolf for sharp inference). Ablations and comparisons: (1) MEI continuous index vs binary veteran-director dummy; (2) three MEI weighting schemes (theory-weighted, PCA-derived, equal weights); (3) measurement-error correction (SIMEX) vs uncorrected estimates; (4) IV vs DiD estimates; (5) inclusion/exclusion of audit-committee membership and audit-committee-chair indicators. Robustness checks: pre-trend tests (leads), placebo outcomes (industry birth rates, non-financial operating metrics), placebo dates, Oster/Olsens bounds for selection on observables, rare-event inference (exact logistic or Bayesian hierarchical models) for restatements. Implementation details: event date = earliest public appointment filing/BoardEx date; event window t-3..t+3 primary, t-5..t+5 robustness; standard covariates lagged by one year; publish ETL scripts, MEI codebook, and adjudicated exemplars.</w:t>
      </w:r>
    </w:p>
    <w:p>
      <w:r>
        <w:t xml:space="preserve"> </w:t>
      </w:r>
    </w:p>
    <w:p>
      <w:pPr>
        <w:pStyle w:val="Heading2"/>
      </w:pPr>
      <w:r>
        <w:t>Risk Factors And Limitations</w:t>
      </w:r>
    </w:p>
    <w:p>
      <w:r>
        <w:t>Endogeneity and time-varying confounding: firms may recruit veterans in response to shocks, causing selection bias not fully removed by DiD or IV. Measurement error: director biography data may be incomplete or inconsistent, producing MEI misclassification. Instrument validity: proposed instruments (veteran-supply shocks, base closures) may violate exclusion restrictions or be weak in this context. Rare events: restatement counts may be very low, limiting reliable inference and requiring pooled or hierarchical models. Data availability and coverage: BoardEx or structured director data may be incomplete for Pakistani firms, increasing manual coding burden. Small treated clusters and staggered timing: few treated firms in some years can impair inference and require small-sample corrections. Generalizability: results from Pakistan may not transfer to other jurisdictions without careful MEI harmonization. Ethical and legal constraints: access to administrative military records or registries may be restricted, and biography scraping risks privacy or vendor-term violations. Computational costs: SIMEX, bootstrap, and hierarchical models increase compute and runtime.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