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sa_21cs_teacher_integration</w:t>
      </w:r>
    </w:p>
    <w:p>
      <w:r>
        <w:t xml:space="preserve"> </w:t>
      </w:r>
    </w:p>
    <w:p>
      <w:pPr>
        <w:pStyle w:val="Heading2"/>
      </w:pPr>
      <w:r>
        <w:t>Title</w:t>
      </w:r>
    </w:p>
    <w:p>
      <w:r>
        <w:t>A sequential exploratory mixed-methods study using multilevel structural equation modeling to assess English and mathematics teachers' integration of four 21st century skills and their barriers in Saudi schools</w:t>
      </w:r>
    </w:p>
    <w:p>
      <w:r>
        <w:t xml:space="preserve"> </w:t>
      </w:r>
    </w:p>
    <w:p>
      <w:pPr>
        <w:pStyle w:val="Heading2"/>
      </w:pPr>
      <w:r>
        <w:t>Short Hypothesis</w:t>
      </w:r>
    </w:p>
    <w:p>
      <w:r>
        <w:t>Higher levels of teacher enactment of 21st century skills (creativity, collaboration, critical thinking, communication) measured by validated observation rubrics cause higher student performance on curriculum-aligned critical thinking and ICT tasks, controlling for teacher and school covariates.</w:t>
      </w:r>
    </w:p>
    <w:p>
      <w:r>
        <w:t xml:space="preserve"> </w:t>
      </w:r>
    </w:p>
    <w:p>
      <w:pPr>
        <w:pStyle w:val="Heading2"/>
      </w:pPr>
      <w:r>
        <w:t>Related Work</w:t>
      </w:r>
    </w:p>
    <w:p>
      <w:r>
        <w:t>Prior work documents barriers to 21st century skills (21CS) integration such as traditional teacher-centered pedagogy, limited training, and weak technology support. Many studies rely on teacher self-report surveys or small qualitative samples, which can overstate practice and lack direct linkage to student outcomes. Existing measurement efforts often lack validated, subject-specific rubrics with tested reliability and cross-group invariance (i.e., consistent meaning across groups). Multilevel analyses are rare; when present they use small cluster counts that reduce confidence in cross-level inference. Gender-segregated contexts and urban/rural resource heterogeneity are under-examined. Limitations include selection bias from convenience sampling, insufficient double-coding for observation reliability, and absence of student performance tasks tied to teacher measures. These weaknesses leave unresolved whether observed teacher practices predict student learning and how measurement bias affects group comparisons.</w:t>
      </w:r>
    </w:p>
    <w:p>
      <w:r>
        <w:t xml:space="preserve"> </w:t>
      </w:r>
    </w:p>
    <w:p>
      <w:pPr>
        <w:pStyle w:val="Heading2"/>
      </w:pPr>
      <w:r>
        <w:t>Abstract</w:t>
      </w:r>
    </w:p>
    <w:p>
      <w:r>
        <w:t>This study examines how English and mathematics teachers in Saudi Arabia integrate four 21st century skills—creativity, collaboration, critical thinking, and communication—into instruction and identifies major barriers to integration. We use a sequential exploratory mixed-methods design: iterative qualitative work (observations and interviews) to build instruments, followed by a large-scale pilot and main survey with classroom observations and brief student performance tasks. The main quantitative analysis uses multilevel structural equation modeling (ML-SEM) to estimate latent teacher 21CS constructs and link them to student task outcomes while accounting for clustering by school. Main contributions are (1) validated, subject-specific rubrics and parallel teacher items with published psychometric properties, (2) empirical estimates of the relationship between teacher enactment and student learning, and (3) evidence on barriers across gender-segregated and urban/rural contexts to inform scalable professional development. Expected impact: produce policy-ready measurement tools and actionable evidence to guide Ministry of Education decisions on teacher training and resource allocation.</w:t>
      </w:r>
    </w:p>
    <w:p>
      <w:r>
        <w:t xml:space="preserve"> </w:t>
      </w:r>
    </w:p>
    <w:p>
      <w:pPr>
        <w:pStyle w:val="Heading2"/>
      </w:pPr>
      <w:r>
        <w:t>Experiments</w:t>
      </w:r>
    </w:p>
    <w:p>
      <w:r>
        <w:t>Datasets: Pilot: N=100-120 teachers (balanced by subject, gender context, urban/rural) and 20-30 observed lessons; Main: N≈400 teachers across 60 schools (6–8 teachers/school) with 60–80 observed lessons and student tasks administered to Grades 6–10 (20–30 minute critical thinking and ICT tasks), plus teacher questionnaire and PD records. Baselines: (A) teacher self-report scales alone, (B) observation-rubric scores alone, (C) simple multilevel regression linking observed scores to student outcomes, (D) PD-exposure predictor model. Primary model: ML-SEM (multilevel structural equation modeling; a statistical model that estimates hidden variables and accounts for teachers nested in schools) estimating latent 21CS constructs from self-report and observation indicators and regressing student task scores on teacher latent scores. Psychometrics: EFA→CFA split-sample; CFA fit thresholds CFI/TLI ≥ .95, RMSEA ≤ .06, SRMR ≤ .08; internal consistency McDonald’s ω ≥ .70. Invariance tests: configural→metric→scalar across subject, gender-segregation, urban/rural; report partial invariance if needed. Reliability: double-code ≥30% of lessons; target ICC ≥ .75 (composites) and weighted kappa ≥ .70 (items). Power: publish minimum detectable effects (MDE) tables from pre-study simulations (ICCs 0.02–0.12, effects .20–.30) and adjust clusters to 80 if required. Evaluation metrics: latent effect sizes (standardized coefficients), student task score differences (percentile/score units), CFA fit indices, ω, ICC, weighted kappa, model RMSE, AIC/BIC. Ablation studies: compare ML-SEM vs. multilevel regression; combined (self-report+observation) latent constructs vs. observation-only constructs; models with and without student tasks to show contribution of student linkage. Robustness checks: cluster-robust SEs, FIML vs. multiple imputation (mice) for missing data, leave-one-cluster-out influence tests. Software: Mplus for ML-SEM (or R lavaan/brms for replication).</w:t>
      </w:r>
    </w:p>
    <w:p>
      <w:r>
        <w:t xml:space="preserve"> </w:t>
      </w:r>
    </w:p>
    <w:p>
      <w:pPr>
        <w:pStyle w:val="Heading2"/>
      </w:pPr>
      <w:r>
        <w:t>Risk Factors And Limitations</w:t>
      </w:r>
    </w:p>
    <w:p>
      <w:r>
        <w:t>Consent and sampling bias: parental opt-in may reduce student task participation and skew representativeness. Field access: delays from Ministry approvals and difficulty staffing female observers in gender-segregated schools can reduce sample size. Measurement risks: low inter-rater reliability, failed CFA fit, or lack of measurement invariance across groups undermines validity of latent comparisons. Statistical risks: low ICCs or high cluster-size variability may reduce power to detect cross-level effects; high missingness or MNAR (missing not at random) patterns can bias estimates. Generalization limits: findings will be specific to Saudi curriculum and gender-segregated schooling and may not transfer to other countries. Resource limits: rural ICT constraints may limit student task fidelity and increase heterogeneity. Technical constraints: complex ML-SEM models may face convergence issues with small clusters or weak indicators, requiring simpler fallback models that reduce causal precision.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