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social_digital_capital_he_access_cn</w:t>
      </w:r>
    </w:p>
    <w:p>
      <w:r>
        <w:t xml:space="preserve"> </w:t>
      </w:r>
    </w:p>
    <w:p>
      <w:pPr>
        <w:pStyle w:val="Heading2"/>
      </w:pPr>
      <w:r>
        <w:t>Title</w:t>
      </w:r>
    </w:p>
    <w:p>
      <w:r>
        <w:t>Bayesian multilevel mediation analysis of how social capital, digital literacy, and socioeconomic status affect access to higher education among Chinese high school graduates</w:t>
      </w:r>
    </w:p>
    <w:p>
      <w:r>
        <w:t xml:space="preserve"> </w:t>
      </w:r>
    </w:p>
    <w:p>
      <w:pPr>
        <w:pStyle w:val="Heading2"/>
      </w:pPr>
      <w:r>
        <w:t>Short Hypothesis</w:t>
      </w:r>
    </w:p>
    <w:p>
      <w:r>
        <w:t>Increasing bridging and linked social capital causes a higher probability of college enrollment among Chinese high school graduates, and this causal effect is larger for students with higher digital literacy after accounting for socioeconomic status.</w:t>
      </w:r>
    </w:p>
    <w:p>
      <w:r>
        <w:t xml:space="preserve"> </w:t>
      </w:r>
    </w:p>
    <w:p>
      <w:pPr>
        <w:pStyle w:val="Heading2"/>
      </w:pPr>
      <w:r>
        <w:t>Related Work</w:t>
      </w:r>
    </w:p>
    <w:p>
      <w:r>
        <w:t>Prior studies link social capital, digital literacy, and socioeconomic status (SES) to postsecondary access. Approaches include cross-sectional regressions showing correlations, single-level structural equation models (SEM) that test mediation in samples, and small randomized or quasi-experimental efforts that target one intervention (for example digital training or counseling). Limitations of existing work are: (1) heavy reliance on correlations without clear exogenous variation to support causal claims; (2) limited measurement of social capital subtypes (bonding versus bridging versus linked) and multimodal digital-literacy measures (self-report plus tasks); (3) inadequate treatment of nested data (students within schools), often ignoring clustering and design effects; (4) sparse use of digital-trace data and poor handling of opt-in selection; (5) little propagation of linkage or matching uncertainty into estimates; and (6) few studies that jointly estimate moderated mediation with robust sensitivity analyses. These gaps reduce confidence in policy-relevant causal inferences.</w:t>
      </w:r>
    </w:p>
    <w:p>
      <w:r>
        <w:t xml:space="preserve"> </w:t>
      </w:r>
    </w:p>
    <w:p>
      <w:pPr>
        <w:pStyle w:val="Heading2"/>
      </w:pPr>
      <w:r>
        <w:t>Abstract</w:t>
      </w:r>
    </w:p>
    <w:p>
      <w:r>
        <w:t>This study examines causal pathways through which social capital and digital literacy mediate the influence of socioeconomic status (SES) on access to higher education for Chinese high school graduates. We combine survey measures of bonding, bridging, and linked social capital, a four-dimension digital-literacy battery (technical, informational, communicative, strategic), optional digital-trace indicators, and administrative outcomes (applications, offers, enrollment) in a multilevel framework. The primary method is a Bayesian multilevel structural equation model (MSEM) that estimates serial and parallel mediation (SES → social capital/digital literacy → application behavior → enrollment) and tests interaction terms (digital literacy × bridging/linked capital). We pre-specify causal contrasts (ATT for cluster RCTs, LATE for instrumented variation, and controlled direct/indirect effects) and run robustness checks including IV, DiD with staggered-adoption corrections, and sensitivity bounds for MNAR missingness. Expected contributions: (1) transparent, auditable causal estimands with DAG-linked falsification tests; (2) joint estimation of moderated mediation in a clustered sample; and (3) quantified implications for scalable policy levers that target social and digital capital to reduce SES gaps in enrollment.</w:t>
      </w:r>
    </w:p>
    <w:p>
      <w:r>
        <w:t xml:space="preserve"> </w:t>
      </w:r>
    </w:p>
    <w:p>
      <w:pPr>
        <w:pStyle w:val="Heading2"/>
      </w:pPr>
      <w:r>
        <w:t>Experiments</w:t>
      </w:r>
    </w:p>
    <w:p>
      <w:r>
        <w:t>Datasets: pilot survey (n=629 across western, central, eastern provinces) for instrument calibration; planned main panel survey target N≈8,000 students nested in ≈200 schools (average 40 pupils/school); optional digital-trace subset (opt-in) and linked administrative records (application, offers, enrollment). Baselines: (1) pooled OLS/logistic regressions with covariates; (2) multilevel logistic regression (random intercepts by school); (3) conventional SEM (maximum likelihood) ignoring linkage uncertainty; (4) IV/2SLS and DiD estimators for quasi-experiments; (5) Bayesian multilevel SEM (primary). Primary estimands: ATT for any randomized digital-literacy workshop (cluster RCT); LATE (local average treatment effect) for each instrumented policy variable (LATE explained: causal effect for those whose treatment status changes because of the instrument); standardized indirect effects (ab) for mediation. Evaluation metrics: enrollment probability differences and marginal effects; standardized indirect-effect sizes with 95% CI and 95% credible intervals; model fit (WAIC/LOO for Bayesian models; RMSEA, CFI for SEM); first-stage F-statistics for IV strength; E-values and Oster bounds for unmeasured confounding sensitivity; posterior predictive checks. Experimental setup: (A) Pre-register DAGs and primary vs exploratory analyses. (B) Fit Bayesian MSEM with latent factors for SES, three social-capital types, four digital-literacy factors; include school-level random effects, and digital-literacy × bridging/linked interaction terms. (C) Compare against: multilevel logistic mediation (frequentist), IV-within-MSEM (instrumented mediators), and two-step Baron-Kenny style mediation as naive baseline. (D) Ablations: remove performance-based digital tasks; ignore linkage uncertainty (use deterministic links only); omit interaction terms. (E) Subgroup tests: stratified analyses by SES tertiles, urban/rural, and region; require pre-specified minimum cluster counts per subgroup. (F) Missingness: primary analysis uses multiple imputation; run pattern-mixture sensitivity with delta adjustments pre-specified (range explained in preregistration). (G) Digital-trace opt-in: model opt-in with propensity scores and Heckman-style selection; run analyses on full-sample weighted estimates and on trace-only samples and compare estimates. (H) Power and precision: run Monte Carlo simulations using ICC≈0.05, cluster sizes ≈40, and target detectable indirect-effect ab≈0.02–0.03; report detectable effect tables.</w:t>
      </w:r>
    </w:p>
    <w:p>
      <w:r>
        <w:t xml:space="preserve"> </w:t>
      </w:r>
    </w:p>
    <w:p>
      <w:pPr>
        <w:pStyle w:val="Heading2"/>
      </w:pPr>
      <w:r>
        <w:t>Risk Factors And Limitations</w:t>
      </w:r>
    </w:p>
    <w:p>
      <w:r>
        <w:t>Nonrandom opt-in and differential consent for digital traces causing selection bias, especially by SES. Linkage error with precision/recall that varies by group, producing biased estimates if not fully modeled. Weak or invalid instruments: exclusion restrictions may fail and IV estimates become unreliable. Low power for small indirect effects or interactions if realized N or cluster counts are lower than planned. Measurement error in self-reports and limited reliability of short performance tasks. Differential item functioning across SES or language groups that breaks scalar invariance, limiting valid latent-mean comparisons. Privacy protections (differential privacy noise) can reduce utility of released aggregates. Results may not generalize beyond sampled provinces or cohorts. Ethical and governance constraints could restrict access to administrative identifiers and reduce feasible linkage quality.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