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accented_malayalam_hate_detection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multi-branch deep learning framework with advanced acoustic feature engineering for hate speech detection in accented Malayalam speech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multi-level acoustic features (ZCR, STFT, MFCC, RMS, mel spectrogram), prosody and phoneme-level cues in a gated multi-branch deep model together with data augmentation and SMOTE balancing increases macro F1 for hate speech detection on accented Malayalam speech by at least 0.05 compared to the best single-branch SSL or handcrafted-feature baseline under speaker-disjoint evaluation.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for audio hate-speech or abusive content detection typically use either learned self-supervised speech representations (SSL, e.g., wav2vec-style embeddings) or hand-crafted acoustic features (e.g., MFCCs, mel spectrograms) and apply single-branch classifiers (CNNs or classical ML). Class imbalance is commonly handled by simple oversampling, class weights, or focal loss. Prior studies rarely combine rich spectro-temporal features, prosodic measures (pitch, energy contours), and phoneme/posteriorgram cues in a fused architecture. Most work evaluates on single datasets with random speaker splits and limited noise or adversarial testing, so generalization to accents, speaker-independent settings, cross-dataset transfer, and noise robustness is under-explored. Reproducibility varies and many pipelines omit full split manifests, seeds and synthetic-data controls. Limitations: insufficient accent-aware modeling, weak speaker-independent validation, limited adversarial/noise perturbation tests, and incomplete handling of synthetic-TTS risks.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hate speech detection in accented Malayalam speech by building a reproducible deep learning pipeline that fuses rich acoustic features with learned speech representations. The system extracts zero-crossing rate (ZCR), short-time Fourier transform (STFT), MFCC (Mel-frequency cepstral coefficients), root-mean-square energy (RMS), mel spectrograms, dynamic prosody descriptors (pitch and energy contours), and phoneme posteriorgrams to form multi-level feature inputs. These inputs are processed by a gated multi-branch encoder that learns branch importance per utterance and a shared classifier that predicts HATE/OFFENSIVE/NON-HATE and severity. We apply controlled audio augmentations (noise injection, time stretch, pitch shift), SMOTE-based class balancing, and explicit labeling and controls for any synthetic TTS items. Contributions are: (1) a reproducible multi-branch acoustic fusion architecture for accented speech, (2) a validation suite with speaker-independent, cross-dataset and noise-perturbed tests, and (3) synthetic-data risk metrics (Fréchet Audio Distance, speaker-leakage checks). Expected outcome: improved and more robust hate speech detection across Malayalam dialects with documented evaluation artifacts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curated accented Malayalam corpus with dialect labels (Central, Malabar, Travancore, diaspora/contact variants). Minimum hate-instance targets: 500 per major dialect (ideal 1,000) and ≥250 for diaspora; splits are speaker-disjoint 80/10/10 train/val/test; for small dialects use 5-fold stratified CV and report aggregated CIs. Baselines: (B1) 1D-CNN trained on MFCC sequences; (B2) fine-tuned SSL encoder (wav2vec2) + classifier; (B3) handcrafted features with classical classifiers (SVM, Random Forest, XGBoost, LightGBM); (B4) hybrid SSL+handcrafted simple concatenation. Proposed method: gated multi-branch encoder with branches for SSL embeddings, handcrafted spectro-temporal CNN, prosody BiLSTM, and phoneme PPG branch; fusion via gated attention; multi-task heads for main label, severity, dialect and code-switch presence. Data balancing &amp; augmentation: SMOTE oversampling on minority hate classes; augmentations: additive noise (SNR 0/5/10/20 dB), time-stretch ±10%, pitch shift ±2 semitones; synthetic TTS samples labeled and segregated. Evaluation metrics: per-dialect precision/recall/F1, macro F1, ROC-AUC, Brier score, calibration curves, ΔF1 across dialects, equalized odds, paired bootstrap 95% CIs, statistical significance via paired bootstrap test (p&lt;0.05). Additional checks: Fréchet Audio Distance (FAD) for synthetic vs natural, speaker-leakage (speaker-verification EER and cosine similarity), and EER threshold reporting. Validation regimes: (1) stratified hold-out, (2) speaker-independent (leave-some-speakers-out), (3) cross-dataset (train on corpus A, test on corpus B), (4) noise-perturbed evaluation at SNRs above, (5) adversarial lexical paraphrase and code-switch insertion tests. Ablations: remove each branch individually (SSL, handcrafted, prosody, PPG), remove SMOTE, remove adversarial/domain-adversarial loss, and remove synthetic data. Report results over 5 random seeds (seed=42 base) and log all seeds, splits, hyperparameters and Dockerized run scripts. Compute logging: GPU-hours per run recorded and MLflow/W&amp;B experiment tracking enabled.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Annotation bias and disagreement: dialectal euphemisms and sarcasm may produce low inter-annotator agreement and uneven label quality. Dialect coverage: rare or unseen accents and extreme code-switching may not generalize. Synthetic-data risks: TTS samples can leak speaker identity or create distribution shifts; speaker-cloning risks if consent or controls fail. Privacy and legal limits: jurisdictional retention rules and PII redaction accuracy constrain usable data and releases. Compute cost and scalability: SSL fine-tuning and multi-branch training require high GPU resources and long runs. Evaluation limits: small dialect subsets yield wide confidence intervals and limit statistical power for fine-grained claims. Adversarial and societal risk: adversaries may craft paraphrases or audio transforms that evade detection; false positives/negatives have real-world harm depending on deployment context. Reproducibility scope: sharing full audio may be restricted by consent and DUAs, limiting public replication.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