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fuzzy_pa_western_taiwan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Applying a fuzzy distinction method to delineate precautionary areas for offshore wind farms along the western coast of Taiwan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precautionary-area model that integrates AIS navigation data, marine GIS layers, and fuzzy-logic aggregation with Monte Carlo uncertainty propagation will increase independent-incident hit-rate by at least 10 percentage points while producing comparable or lower navigational-displacement cost than deterministic buffer-based PA methods when evaluated on the western Taiwan shelf.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offshore-wind precautionary planning include deterministic buffering of sensitive habitats (simple fixed-distance exclusion zones), weighted multi-criteria decision analysis (MCDA) that sums normalized criteria, species distribution models (SDMs) that map habitat probability, and AIS-based traffic-density rasters used for navigation-safety overlays. Fuzzy logic has been applied in environmental siting to represent imprecise thresholds, and global sensitivity / surrogate models (Sobol, Gaussian-process emulators) have been used to study complex environmental models. Limitations across these methods are: deterministic buffers ignore gradient information and uncertainty; MCDA often uses fixed weights without formal uncertainty; many fuzzy applications lack reproducible parameter elicitation and explicit uncertainty propagation; SDMs and validation sets are underused for operational ROC-style testing; dependence among inputs (e.g., wind, currents, shipping) is often ignored; and prior work rarely links fuzzy spatial outputs to regulator-friendly α-cuts, loss functions, or formal sensitivity analyses.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mapping precautionary areas (PAs) for offshore wind farm planning on western Taiwan by developing a reproducible fuzzy-distinction workflow that jointly accounts for navigational safety, ecological sensitivity, and wind/hydrological factors. The approach converts input rasters (AIS vessel density, habitat abundance, bathymetry, wind/wave/current ensembles) to standardized membership values using explicit trapezoid/gaussian/triangular functions, aggregates memberships with parameterized Yager gamma-operators, and produces nested α-cut PA polygons. Uncertainty from input variability and membership parameters is propagated via Monte Carlo resampling; sensitivity is assessed using global indices and, where required, a Gaussian-process surrogate. The main contributions are: (1) a fully specified, reproducible parameter-elicitation and Monte Carlo protocol for fuzzy PA mapping; (2) formal fuzzy-ROC and α-cut evaluation using independent incident and survey datasets; and (3) policy-ready scenario outputs (conservative, balanced, permissive) with quantified tradeoffs (ecology, navigation, energy loss). Expected outcomes are validated PA maps with area/uncertainty estimates and decision tables usable by regulators and stakeholders.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AIS raw tracks (3+ years, monthly), multibeam bathymetry and substrate maps, protected-area and habitat polygons (MPAs, nesting sites), seabird and marine-mammal survey rasters (line-transect and PAM detection outputs), ERA5 and regional hindcast wind/wave/current ensembles (10+ years), AIS incident/near-miss logs, strandings and benthic impact surveys. Study grid: EPSG:32651, base 500 m cells, nested 250 m band nearshore (shoreline to 5 km). Baselines: (A) deterministic buffers around habitats (1, 3, 5 km), (B) weighted linear MCDA (normalized sum with fixed weights), (C) crisp MGIS suitability map (thresholded rasters), (D) fuzzy model without Monte Carlo (single-parameter set). Model configuration: membership shapes per specification (e.g., distance trapezoid [0,1,3,5] km; shipping gaussian σ=2 vessels/km2; bird abundance gaussian μ=0.6 σ=0.15); aggregation gamma ∈ {0,0.5,1}; α-cuts ∈ {0.3,0.5,0.7}. Uncertainty &amp; sampling: Monte Carlo 5,000 draws sampling membership parameter priors (±10–30% normal), seasonal input ensembles (3 seasons), and γ values; Sobol sensitivity with N=1,024 base samples for k≈20 parameters; surrogate GP trained on 2,000 runs if compute constrained. Cross-validation: blocked spatial k-fold (k=5 coastal blocks). Metrics: hit-rate (fraction of independent incidents/observations inside PA), false-alarm rate, fuzzy-AUC (integrated fuzzy-ROC over α), PA area and perimeter distribution (mean, std), overlap with jurisdictional layers, energy-loss estimate (% wind resource lost within PA using wind-speed integration), navigational-displacement cost (extra vessel transit distance/time), Sobol total-effect indices, computational cost (CPU-hours). Ablations: (1) no copula (assume input independence), (2) no Monte Carlo (deterministic parameters), (3) remove environmental ensembles (single climatology), (4) different grid resolutions (250 m, 500 m, 1,000 m). Evaluation: sweep α and γ to build Pareto tradeoffs; perform species-specific power analyses for monitoring targets; report results with uncertainty bands and decision tables for conservative/balanced/permissive scenarios.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mis-specified membership priors or copulas can bias PA maps; surrogate models may underfit boundary behavior leading to incorrect α-cut uncertainty. Data and evaluation biases: AIS under-reporting (small vessels), uneven survey effort for wildlife (spatial sampling bias), and incomplete incident logs reduce validation reliability. Scalability and compute: full Sobol analyses and 10k Monte Carlo runs over large extents require substantial CPU-hours and memory; surrogate training imposes additional validation needs. Methodological limits: fuzzy aggregation choices and α thresholds are normative and require stakeholder weight elicitation; transfer to other regions may need re-elicitation of priors and revalidation. Temporal nonstationarity: interannual variability and climate-driven shifts in species and ocean conditions can invalidate static priors. Regulatory and social constraints: acceptance of probabilistic/α-cut outputs by regulators and fishers is not guaranteed and may limit operational use.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