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dance_therapy_bibliometric_rehab</w:t>
      </w:r>
    </w:p>
    <w:p>
      <w:r>
        <w:t xml:space="preserve"> </w:t>
      </w:r>
    </w:p>
    <w:p>
      <w:pPr>
        <w:pStyle w:val="Heading2"/>
      </w:pPr>
      <w:r>
        <w:t>Title</w:t>
      </w:r>
    </w:p>
    <w:p>
      <w:r>
        <w:t>Longitudinal bibliometric analysis to map the intellectual structure and temporal trends of dance therapy research in rehabilitation (2000–2024)</w:t>
      </w:r>
    </w:p>
    <w:p>
      <w:r>
        <w:t xml:space="preserve"> </w:t>
      </w:r>
    </w:p>
    <w:p>
      <w:pPr>
        <w:pStyle w:val="Heading2"/>
      </w:pPr>
      <w:r>
        <w:t>Short Hypothesis</w:t>
      </w:r>
    </w:p>
    <w:p>
      <w:r>
        <w:t>Applying a reproducible, cross-database bibliometric pipeline will produce thematic clusters in dance therapy rehabilitation whose membership and temporal prominence remain stable under parameter sensitivity tests and whose cluster prominence correlates positively with the proportion of empirical randomized controlled trials (RCTs) within each cluster.</w:t>
      </w:r>
    </w:p>
    <w:p>
      <w:r>
        <w:t xml:space="preserve"> </w:t>
      </w:r>
    </w:p>
    <w:p>
      <w:pPr>
        <w:pStyle w:val="Heading2"/>
      </w:pPr>
      <w:r>
        <w:t>Related Work</w:t>
      </w:r>
    </w:p>
    <w:p>
      <w:r>
        <w:t>Prior work has reported growth in dance therapy and dance movement therapy literature and documented focal topics such as mental health benefits and physical rehabilitation outcomes. Existing studies typically used single databases or single tools (examples: separate uses of VOSviewer, bibliometrix, or CiteSpace) and produced cross-sectional snapshots or short-term trend notes. Limitations of prior approaches include narrow database coverage, inconsistent deduplication and author disambiguation, limited integration of study quality (e.g., RCT vs observational), lack of preregistered pipelines, minimal sensitivity analyses for clustering parameters, language bias from excluding non-English records, and few publicly shared datasets or reproducible containers. These weaknesses reduce confidence in claims about thematic structure, trend emergence, and translational priorities and hinder replication across teams.</w:t>
      </w:r>
    </w:p>
    <w:p>
      <w:r>
        <w:t xml:space="preserve"> </w:t>
      </w:r>
    </w:p>
    <w:p>
      <w:pPr>
        <w:pStyle w:val="Heading2"/>
      </w:pPr>
      <w:r>
        <w:t>Abstract</w:t>
      </w:r>
    </w:p>
    <w:p>
      <w:r>
        <w:t>We address the need for a reproducible, uncertainty-quantified map of research on dance therapy in rehabilitation from 2000 to 2024. We will build a preregistered, cross-database bibliometric pipeline using Scopus and Web of Science as primary sources, supplemented by PubMed and PsycINFO. The pipeline applies rigorous deduplication, ORCID-assisted author disambiguation, fractional counting networks, and convergent clustering (network clustering and topic models). We will run parameter sensitivity sweeps and bootstrap stability tests to report modularity, silhouette, and adjusted Rand indices (a measure of similarity between clusterings). We will integrate study-design tags and sample risk-of-bias appraisals to compare cluster prominence with empirical evidence strength. Deliverables include thematic cluster maps, temporal burst detection, an open cleaned dataset, reproducible code, and an interactive dashboard. Expected outcomes are (1) stable, testable thematic clusters with quantified uncertainty, (2) identification of translational priority areas tied to empirical quality, and (3) a reusable protocol to guide future bibliometric studies and trial prioritization.</w:t>
      </w:r>
    </w:p>
    <w:p>
      <w:r>
        <w:t xml:space="preserve"> </w:t>
      </w:r>
    </w:p>
    <w:p>
      <w:pPr>
        <w:pStyle w:val="Heading2"/>
      </w:pPr>
      <w:r>
        <w:t>Experiments</w:t>
      </w:r>
    </w:p>
    <w:p>
      <w:r>
        <w:t>Datasets: exports from Scopus and Web of Science Core Collection (primary), plus PubMed and PsycINFO (supplementary); time window 2000–2024; include document types: peer-reviewed articles and reviews; include records with English abstracts. Export fields: title, abstract, authors, affiliations, ORCID, DOI, year, document type, keywords (author and index), funding, cited references, times cited, and trial registry IDs. Preprocessing: deduplicate by DOI exact match; then fuzzy title match with token-set ratio &gt;=95% plus same-year/author overlap; log all automated matches and manual decisions. Author disambiguation: map ORCID where present; algorithmic clustering by name+affiliation+coauthors; manual verification for top 200 productive authors. Analytic pipeline: (1) co-authorship and country networks using fractional counting in VOSviewer (fractional counting gives each coauthor partial credit rather than full credit); (2) co-word and keyword co-occurrence networks with association normalization; (3) co-citation analysis and burst detection in CiteSpace with 1-year time slices and g-index k=25 (sensitivity k=20 and k=30); (4) topic modeling using LDA and BERTopic with topic counts swept 5, 8, 10, 12, 15; (5) community detection using Louvain and Leiden algorithms. Baselines: single-database analysis (Web of Science only), naive deduplication (title exact match only), full-counting networks (no fractional counting), and pipeline without study-quality integration. Evaluation metrics: modularity Q, mean silhouette (cluster cohesion measure), adjusted Rand index (ARI; measures similarity between two clusterings, ranges 0–1), cluster stability distribution from 1000 bootstrap resamples (resample edges/nodes), overlap percentage of cluster membership across parameter sweeps, Spearman correlation between cluster prominence (citations per year and betweenness centrality) and proportion of RCTs per cluster, and burst reproducibility across k-values. Experimental setup: seed set validation (20–30 gold-standard papers) to refine queries; dual independent title/abstract screening with Cohen’s kappa target &gt;=0.75; automated runs recorded with software/library versions and container image; ablation studies: (A) remove quality-integration (no RCT tagging) vs full pipeline, (B) fractional counting vs full counting, (C) include vs exclude non-English records (English-abstract-only screening), (D) Louvain vs Leiden community detection. Report: numeric tables of Q, silhouette, ARI, Spearman rho with p-values, and dashboards of cluster membership sensitivity.</w:t>
      </w:r>
    </w:p>
    <w:p>
      <w:r>
        <w:t xml:space="preserve"> </w:t>
      </w:r>
    </w:p>
    <w:p>
      <w:pPr>
        <w:pStyle w:val="Heading2"/>
      </w:pPr>
      <w:r>
        <w:t>Risk Factors And Limitations</w:t>
      </w:r>
    </w:p>
    <w:p>
      <w:r>
        <w:t>Coverage bias: Scopus and Web of Science indexing gaps may miss local or non-indexed studies and books; results generalize only to indexed literature. Deduplication/disambiguation errors: fuzzy thresholds can produce false merges or splits; manual verification sampling beyond top authors may still miss errors. Citation bias and time lag: recent publications have fewer citations, biasing prominence measures. Language bias: restricting to records with English abstracts omits some non-English full texts and adaptations. Quality-tagging limits: automated study-design tags may misclassify study types; RoB sampling on top studies may not generalize. Cluster interpretation: mapping clusters to clinical topics requires subjective labeling and may vary by rater. Computational limits: bootstrap resampling (&gt;=1000 iterations) and topic-model sweeps require substantial CPU and RAM, potentially limiting reproducibility on modest hardware. Privacy and sharing constraints: funder or publisher limits may restrict sharing of some metadata or full texts. Generalization: bibliometric signals indicate research activity, not clinical efficacy; high prominence does not equal high-quality evidence.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