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comparative_aesthetics_islam_observed</w:t>
      </w:r>
    </w:p>
    <w:p>
      <w:r>
        <w:t xml:space="preserve"> </w:t>
      </w:r>
    </w:p>
    <w:p>
      <w:pPr>
        <w:pStyle w:val="Heading2"/>
      </w:pPr>
      <w:r>
        <w:t>Title</w:t>
      </w:r>
    </w:p>
    <w:p>
      <w:r>
        <w:t>An interdisciplinary comparative corpus analysis of aesthetic codes in Moroccan and Indonesian Islam using multimodal annotation and mixed-effects modeling</w:t>
      </w:r>
    </w:p>
    <w:p>
      <w:r>
        <w:t xml:space="preserve"> </w:t>
      </w:r>
    </w:p>
    <w:p>
      <w:pPr>
        <w:pStyle w:val="Heading2"/>
      </w:pPr>
      <w:r>
        <w:t>Short Hypothesis</w:t>
      </w:r>
    </w:p>
    <w:p>
      <w:r>
        <w:t>Greater doctrinal emphasis on tanzīh (theological denial of likeness) in a region causes comparative rhetorical and visual devices in that region's texts and objects to be assigned lower literalness_scale scores than in regions with lower tanzīh emphasis.</w:t>
      </w:r>
    </w:p>
    <w:p>
      <w:r>
        <w:t xml:space="preserve"> </w:t>
      </w:r>
    </w:p>
    <w:p>
      <w:pPr>
        <w:pStyle w:val="Heading2"/>
      </w:pPr>
      <w:r>
        <w:t>Related Work</w:t>
      </w:r>
    </w:p>
    <w:p>
      <w:r>
        <w:t>Existing work on Islamic aesthetics emphasizes formal features (geometry, symmetry, calligraphy) and theological motifs (light metaphors, ta'ajjub). Literary and comparative scholarship has theorized rhetorical devices like simile and parable and explored cross-cultural parallels. Digital humanities studies have developed OCR/HTR for historical scripts and multimodal annotation tools (TEI/IIIF), but most prior approaches treat text and image separately, lack large annotated multimodal corpora, or rely on single-discipline methods. Ethnographic studies document lived taste (dhawq) but rarely link those observations to coded corpora. Limitations of current methods: small, unrepresentative samples; limited cross-regional, cross-modal alignment between inscriptions and image coordinates; weak reproducibility of interpretive codes; few standardized literalness or device taxonomies; and scarce ground-truth HTR data for Arabic script variants and regional hands.</w:t>
      </w:r>
    </w:p>
    <w:p>
      <w:r>
        <w:t xml:space="preserve"> </w:t>
      </w:r>
    </w:p>
    <w:p>
      <w:pPr>
        <w:pStyle w:val="Heading2"/>
      </w:pPr>
      <w:r>
        <w:t>Abstract</w:t>
      </w:r>
    </w:p>
    <w:p>
      <w:r>
        <w:t>This project addresses how comparative rhetorical and visual devices shape regional varieties of Islamic aesthetics by building a multimodal, annotated corpus and applying mixed-method analysis. We combine philological annotation of rhetorical devices (e.g., tashbīh, istiʿāra, mathal), visual tagging of inscription–image interplay, and ethnographic vignettes from Morocco and Indonesia. The method is an interdisciplinary comparative pipeline: curated pilot sampling, a two-tier annotation schema with a 0–3 literalness_scale (0 = explicit non-likeness; 3 = literal identification), ground-truth OCR/HTR sets for major script variants, and reproducible statistical analysis including mixed-effects models and network analysis. Main contributions are (1) an interoperable TEI/IIIF multimodal pilot corpus with exemplar annotations, (2) a validated coding manual and inter-coder reliability targets, and (3) pre-registered analytical artifacts (model formulas, reliability thresholds, OCR acceptance criteria). Expected outcomes are empirically grounded claims about how doctrinal and cultural poetics shape aesthetic comparativeness and an open, reusable pilot dataset for future work.</w:t>
      </w:r>
    </w:p>
    <w:p>
      <w:r>
        <w:t xml:space="preserve"> </w:t>
      </w:r>
    </w:p>
    <w:p>
      <w:pPr>
        <w:pStyle w:val="Heading2"/>
      </w:pPr>
      <w:r>
        <w:t>Experiments</w:t>
      </w:r>
    </w:p>
    <w:p>
      <w:r>
        <w:t>Datasets: textual pilot N=300 annotated units stratified as 100 tafsīr/exegetical, 100 theological/philosophical, 50 poetic stanzas, 50 hadith/sermon; visual pilot N=100 objects/sites (balanced for Morocco and Indonesia where possible, with supplementary regional comparators); ethnographic vignettes N≈60 episodes across 6–8 sites. Ground-truth HTR: 10,000–12,000 Arabic lines across major scripts; 5,000 lines each for Persian, Ottoman Turkish, Urdu. Baselines: (A) raw frequency counts of device lexical markers without annotation, (B) single-discipline manual readings (philologist-only), (C) text-only annotated pipeline (no visual tags), (D) automated OCR+keyword heuristics. Evaluation metrics: Krippendorff's alpha for categorical codes (target ≥0.80), alpha for ordinal scales (target ≥0.70); character error rate (CER) for OCR (accept ≤5%); mixed-effects model coefficients and p-values (or posterior intervals) for effect of doctrinal emphasis on literalness_scale; model fit (AIC/BIC); network modularity and node centrality for device co-occurrence graphs; alignment accuracy for linking inscription text spans to IIIF image coordinates (precision/recall over bounding-box matches). Experimental setup: three calibration rounds of blind double-coding with trained annotators (training hours ≥30 each), adjudication set for ambiguous cases, cross-validation on mixed-effects models by leave-one-region-out, and pre-registered model examples (e.g., literalness_scale ~ region + genre + period + (1|author/site)). Ablation studies: remove visual_tags (compare text+image vs text-only), remove ethnographic covariates (compare models with and without ethnography), and vary OCR CER thresholds (automated vs manual transcription) to measure downstream effect on device detection and model estimates.</w:t>
      </w:r>
    </w:p>
    <w:p>
      <w:r>
        <w:t xml:space="preserve"> </w:t>
      </w:r>
    </w:p>
    <w:p>
      <w:pPr>
        <w:pStyle w:val="Heading2"/>
      </w:pPr>
      <w:r>
        <w:t>Risk Factors And Limitations</w:t>
      </w:r>
    </w:p>
    <w:p>
      <w:r>
        <w:t>Technical failure modes: OCR/HTR may not reach CER ≤5% for some script variants, producing transcription errors that bias code assignment. Subjective coding bias: device_type and literalness_scale are interpretive and may not reach reliability targets. Data access limits: contested provenance or partner restrictions may prevent imaging or publication of key objects. Sample and generalization limits: pilot corpus size and geographic focus (Morocco and Indonesia) may not generalize to all Muslim regions. Computational limits: multispectral imaging and 3D models require storage and compute resources that may constrain scaling. Evaluation biases: ethnographic data are context-specific and may introduce socio-cultural sampling bias. Legal/ethical constraints: consent, co-curation, and repatriation concerns may limit public release of data and affect reproducibility.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