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thermalscapes_informal_shading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Ethnography and participatory biosensing to quantify how informal shading alters thermal comfort and thermalscapes in a hot Brazilian city centre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Informal shading structures causally reduce pedestrians' mean radiant temperature (Tmrt) and time-weighted thermal stress (measured by PET/UTCI), producing increased dwell-time in shaded retail street segments relative to matched unshaded segments.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falls into three broad approaches: (1) remote sensing and thermal imagery to map surface temperature patterns at street and neighborhood scales; (2) microclimate simulation (ENVI-met, CFD) and point-sensor campaigns that estimate air temperature and radiant fluxes; (3) social-qualitative studies of street vending, informal urban practices, and human thermal comfort measured by surveys or wearables. Common limitations are: many studies treat radiation, air temperature, and human exposure separately rather than fusing them into pedestrian-level mean radiant temperature (Tmrt, the uniform radiant temperature a person would experience); globe thermometer conversions to Tmrt can be biased in urban canyons (globe sensors are simple black balls that measure radiant heating but require wind corrections); models are often not validated with colocated human-centered data; sensor networks are sparse so spatial interpolation omits shade type and geometry; causal inference is rarely pre-registered or uses weak designs, leaving identification threats unaddressed; and ethnographic insights are infrequently integrated quantitatively, so social governance of shade and behavior-driven exposure heterogeneity remain unresolved.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how informal shading practices shape pedestrian thermal comfort and the thermalscape of a hot city centre in Cuiabá, Brazil by combining ethnography, participatory biosensing (wearables), dense sensor networks, and remote sensing. We will measure mean radiant temperature (Tmrt), PET/UTCI (thermal comfort indices), and behavioral outcomes (dwell-time, route choice) across matched shaded and unshaded street segments. The approach preregisters estimands and uses paired difference-in-differences, event studies, and instrumental-variable checks for causal inference. Main contributions: (1) an integrated, uncertainty-quantified pipeline that fuses globe-based Tmrt estimates, net-radiometer validation, UAV thermal mapping, and ethnographic annotations of shade types; (2) a reproducible protocol and power calculations targeting detectable ΔTmrt ≈1.0–1.5°C; (3) empirical evidence linking informal shade typologies to measurable comfort gains and behavioral change. Expected outcomes include validated thermalscape maps with per-pixel credible intervals, causal estimates of informal shade effects on comfort and behavior, and policy-relevant design guidance for urban retail areas.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Sites and sampling: select 24 street segments in central Cuiabá: 12 with persistent informal shading (treatment) and 12 matched unshaded controls stratified by canyon geometry and land use. Sensors: deploy 4–6 replicate nodes per segment (globe thermometer 150 mm, air temperature &amp; relative humidity at 1.5 m, optional 3D sonic anemometer at 2.0 m) for 1-minute logging; expected total nodes 120–150. Wearables: recruit n=100 participants stratified by vendors/workers/residents, recording skin temperature, heart-rate, and opt-in GPS. Imagery: weekly UAV thermal flights with in-scene blackbody panels and monthly street-level photogrammetry/LIDAR. Baseline datasets: matched unshaded segments (empirical baseline), remote-sensing-only interpolation (baseline 2), and ENVI-met calibrated model runs (baseline 3). Calibration and validation: colocate net-radiometer nodes at 6 representative locations for Tmrt cross-validation. Power and sample-size: publish Monte Carlo code (α=0.05, power=0.8) using empirical temporal autocorrelation and spatial variograms targeting detectable ΔTmrt 1.0–1.5°C. Evaluation metrics: primary—ΔTmrt (°C), ΔPET/UTCI (comfort indices; PET and UTCI are computed indices that combine temperature, radiation, humidity, and wind), time-weighted exposure (degree·minutes), change in dwell-time (minutes); secondary—RMSE and bias of interpolated Tmrt surfaces, coverage of 95% credible intervals, p-values and adjusted q-values (Benjamini–Hochberg) for secondary outcomes. Statistical tests and causal estimators: paired difference-in-differences, staggered DiD (Callaway &amp; Sant’Anna-style), event-study windows around shade installation/removal events, site fixed-effects panel models, and pre-specified instrumental-variable analysis using external instruments (e.g., market scheduling or enforcement dates). Validation and cross-validation: withhold 20% of sensors for out-of-sample validation; use block spatial cross-validation to avoid leakage. Uncertainty propagation: Monte Carlo chains that combine instrument calibration error, globe→Tmrt conversion variance (ISO/ASHRAE wind correction; wind correction is a formula to convert globe readings to radiant temperature accounting for wind), imputation draws from state-space spatio-temporal models, and model/emulator uncertainty. Ablations and comparisons: (A) full fusion (sensors+UAV+ethnography) vs sensor-only interpolation; (B) globe-only Tmrt conversion vs globe+net-radiometer bias-corrected Tmrt; (C) ENVI-met full CFD runs vs surrogate emulator performance; (D) analysis with and without ethnographic-coded moderators (e.g., shade governance, usage patterns). Deliverables: per-minute and per-pixel GeoTIFFs for Tmrt and PET/UTCI with per-pixel credible intervals, pre-registered analysis scripts and Monte Carlo code, and tabulated causal estimates with robustness checks.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failures: sensor drift, calibration loss, vandalism, theft, battery or telemetry outages will cause missing data and reduce power. Data biases: wearable sample (n=100) may not represent all pedestrians or vendor shifts, producing selection bias in behavioral outcomes. Causal identification limits: unobserved time-varying confounders (e.g., market events, temporary street works) can bias DiD estimates; candidate instruments may violate exclusion if they affect comfort through other channels. Measurement limits: globe→Tmrt conversions are sensitive to wind and emissivity assumptions (wind-correction is a sensitive formula), and net-radiometer coverage is limited so spatial Tmrt surfaces rely on interpolation. Modeling limits: ENVI-met/CFD is computationally expensive at fine resolution; surrogate emulators introduce approximation error that must be quantified. Generalization: findings are context-specific to Cuiabá's climate, materials, and social governance and may not transfer directly to other cities or climates. Legal and logistical constraints: UAV flight permissions, municipal permits, and IRB approvals may restrict temporal windows or areas for data collection. Privacy risks: GPS traces and wearable data are sensitive; retaining sensitive raw traces for five years may conflict with local data-minimization norms or laws.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