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spanish_winery_resilience</w:t>
      </w:r>
    </w:p>
    <w:p>
      <w:r>
        <w:t xml:space="preserve"> </w:t>
      </w:r>
    </w:p>
    <w:p>
      <w:pPr>
        <w:pStyle w:val="Heading2"/>
      </w:pPr>
      <w:r>
        <w:t>Title</w:t>
      </w:r>
    </w:p>
    <w:p>
      <w:r>
        <w:t>Estimating the effect of firm characteristics on resilience capacities of Spanish wineries using survey-linked environmental data and OLS-based causal models</w:t>
      </w:r>
    </w:p>
    <w:p>
      <w:r>
        <w:t xml:space="preserve"> </w:t>
      </w:r>
    </w:p>
    <w:p>
      <w:pPr>
        <w:pStyle w:val="Heading2"/>
      </w:pPr>
      <w:r>
        <w:t>Short Hypothesis</w:t>
      </w:r>
    </w:p>
    <w:p>
      <w:r>
        <w:t>Higher internal resilience capacities (measured by validated absorption, adaptability, and transformability indices) cause faster recovery in quarterly sales and lower exit probability for wineries after environmental or economic shocks.</w:t>
      </w:r>
    </w:p>
    <w:p>
      <w:r>
        <w:t xml:space="preserve"> </w:t>
      </w:r>
    </w:p>
    <w:p>
      <w:pPr>
        <w:pStyle w:val="Heading2"/>
      </w:pPr>
      <w:r>
        <w:t>Related Work</w:t>
      </w:r>
    </w:p>
    <w:p>
      <w:r>
        <w:t>Prior work on winery and rural agro-industry resilience emphasizes innovation, strategic management, sustainable practices, and adaptation to market and climate pressures. Studies commonly measure adaptability or single resilience traits and report correlations between innovation and better outcomes. Limitations in existing approaches include small or non-representative samples, reliance on cross-sectional correlations rather than causal estimates, limited integration of high-resolution environmental exposure data, weak validation of composite resilience indices, inadequate handling of selection bias and measurement error, and scarce supply-chain or qualitative integration. Many studies use simple fixed-effect regressions without modern estimators for staggered treatments or dynamic panels, and they rarely quantify uncertainty from environmental data or test alternative index constructions out-of-sample.</w:t>
      </w:r>
    </w:p>
    <w:p>
      <w:r>
        <w:t xml:space="preserve"> </w:t>
      </w:r>
    </w:p>
    <w:p>
      <w:pPr>
        <w:pStyle w:val="Heading2"/>
      </w:pPr>
      <w:r>
        <w:t>Abstract</w:t>
      </w:r>
    </w:p>
    <w:p>
      <w:r>
        <w:t>This study tests how firm-level attributes influence three resilience capacities—absorption (short-term shock resistance), adaptability (adjustment to recover), and transformability (longer-term structural change)—in Spanish wineries. We combine a survey of wineries with geocoded parcel exposures (climate, pests, soil) to build validated resilience indices and then estimate causal effects on recovery time, sales change, and exit risk. The approach uses ordinary least squares with rich controls and robustness checks, complemented by dynamic panel methods and modern staggered-treatment/event-study estimators to strengthen identification. Main contributions are: (1) validated resilience indices using confirmatory factor analysis and PCA; (2) propagation of environmental data uncertainty into inference via Monte Carlo draws; and (3) a comparative identification exercise (OLS, IV, system GMM, Callaway &amp; Sant’Anna, Sun &amp; Abraham, and synthetic controls). Expected outcomes are policy-relevant estimates of which internal attributes most reduce economic harm from shocks and evidence on actionable interventions for rural agro-industries.</w:t>
      </w:r>
    </w:p>
    <w:p>
      <w:r>
        <w:t xml:space="preserve"> </w:t>
      </w:r>
    </w:p>
    <w:p>
      <w:pPr>
        <w:pStyle w:val="Heading2"/>
      </w:pPr>
      <w:r>
        <w:t>Experiments</w:t>
      </w:r>
    </w:p>
    <w:p>
      <w:r>
        <w:t>Datasets: (a) Survey data of 411 Spanish wineries (items on size, structure, innovation, rural commitment, buffers, insurance, market mix, cooperative ties); (b) geocoded vineyard parcel polygons linked to each firm; (c) daily climate rasters (ERA5 and E-OBS), pest/outbreak layers, and soil/irrigation maps; (d) administrative sales/employment registers where available; (e) pilot transactional data from two regions for supply-chain calibration. Baselines: (1) OLS with firm and year fixed effects; (2) naive two-way fixed effects (TWFE); (3) system GMM (Arellano-Bond/Blundell-Bond) for dynamic panels; (4) IV regressions (LIML/TK) where valid instruments exist; (5) modern staggered estimators Callaway &amp; Sant’Anna and Sun &amp; Abraham; (6) synthetic control for region-level shocks. Index construction: build absorption/adaptability/transformability indices via CFA (confirmatory factor analysis: tests if items measure a latent trait), IRT (item response theory), and PCA (principal component analysis); hold out 25% firms for validation. Evaluation metrics: primary outcomes are time-to-recovery (months), percent change in quarterly sales, EBITDA margin, binary exit, and survival time; report out-of-sample R2, RMSE, AUC for exit prediction, coefficient estimates with clustered standard errors, pre-trend p-values, Hansen overidentification and AR tests (for GMM), and weak-instrument F-stat or LIML diagnostics. Experimental setup: (1) Estimate baseline OLS: resilience_index -&gt; outcomes with controls; (2) Ablation A: compare index weighting schemes (equal, PCA, CFA, ML-derived) and report stability metrics; (3) Ablation B: compare identification methods (OLS vs system GMM vs IV vs CSA/Sun&amp;Abraham vs synthetic control) on the same estimand and report divergence; (4) Uncertainty propagation: run Monte Carlo draws of raster inputs (N&gt;=1000) to produce CI variation for environmental elasticities; (5) Validation: use holdout 25% to test predictive validity (AUC/R2) and run placebo tests using pre-shock periods; (6) Power analysis appendix: report minimum detectable effects for key strata given observed variance and intraclass correlations.</w:t>
      </w:r>
    </w:p>
    <w:p>
      <w:r>
        <w:t xml:space="preserve"> </w:t>
      </w:r>
    </w:p>
    <w:p>
      <w:pPr>
        <w:pStyle w:val="Heading2"/>
      </w:pPr>
      <w:r>
        <w:t>Risk Factors And Limitations</w:t>
      </w:r>
    </w:p>
    <w:p>
      <w:r>
        <w:t>Measurement error: survey self-reports, parcel-to-firm aggregation, and administrative records may contain biases; methods like SIMEX are needed but may not fully remove bias. Selection bias: small or household wineries may be undercovered, limiting external validity. Instrument validity risks: candidate IVs (bank-branch closures, cooperative density) may violate exclusion restrictions or correlate with unobserved trends. Spillovers and interference: spatial or market spillovers between nearby firms can bias causal estimates if not modeled. Environmental data uncertainty: downscaling and sensor errors can produce noisy exposures and increasing Monte Carlo runs is computationally heavy. Sample size limits: 411 firms may be underpowered for rare outcomes like exit or catastrophic loss, reducing precision for subgroup analyses. Model limitations: dynamic panel GMM can suffer from instrument proliferation and weak instruments; staggered estimators require correct treatment timing assumptions. Generalization: results may not generalize beyond Spanish wineries or to larger agro-industries with different governance. Computational cost: Monte Carlo uncertainty propagation and large synthetic-control suites increase compute needs and runtime.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