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voucher_fruit_nigeria_vietnam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Randomized controlled trial of fruit vouchers to increase fruit affordability and consumption among peri-urban and urban households in Nigeria and Vietnam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Providing households with vouchers that lower the effective price of fruits causes an increase in per-capita fruit intake (grams per day) over 12 months compared with no vouchers in peri-urban and urban areas of Nigeria and Vietnam.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improve healthy food consumption include cash transfers, food vouchers, targeted subsidies, and behaviorally framed messaging. Many prior studies show short-term increases in purchases but have limitations: reliance on self-reported purchase rather than intake, scarce objective biomarker validation, weak pre-specification of analysis plans (raising risk of selective reporting), limited measurement of market-level supply responses (price spikes or shortages), and inadequate handling of spillovers when interventions shift local demand. Behavioral nudge studies often lack integration with supply-side monitoring, so they may increase demand without assessing impacts on price or vendor behavior. Existing randomized trials rarely combine comprehensive dietary recalls, biomarkers, vendor-level data, and pre-registered econometric estimands with explicit spillover estimators, limiting causal interpretation and external validity.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evaluates whether price-reducing fruit vouchers increase fruit affordability and intake in peri-urban and urban households in Nigeria and Vietnam. We implement a randomized controlled trial that assigns households to control, low-value voucher, or high-value voucher conditions and measures outcomes with repeated 24-hour dietary recalls, a biomarker subsample (plasma ascorbic acid and serum carotenoids), and vendor redemption and price logs. The main contribution is a pre-registered, reproducible causal evaluation that links household intake (self-report and biomarkers) to market-level supply responses and fraud monitoring. We add a nested behavioral test of SMS nudges to study mediation by redemption behavior. Expected outcomes include causal estimates of intent-to-treat effects on per-capita fruit intake, dose-response estimates across voucher levels, and evidence on market pass-through and welfare impacts for non-participants. Results will inform nutrition policy design where demand subsidies interact with local fruit markets.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household_panel with demographics and three non-consecutive 24-hour recalls per wave (baseline, 6-month midline, 12-month endline); voucher_redemption logs (voucher_id, household_id, vendor_id, date, fruit_type, quantity_kg, subsidy_amount); market_vendor_log (price_per_kg, stock_level, quality_score, procurement_source) collected weekly; biomarker_subsample (n=250 households/country) with plasma ascorbic acid and serum carotenoids at baseline and endline; sentinel market monitoring. Baselines: Control (no voucher), Low voucher (smaller subsidy), High voucher (larger subsidy). Nested arms: 25% of treated households randomized to SMS nudge (two frames: social norm and commitment); small pilot randomization of voucher validity period (1 month vs 2 months) in a sub-cohort. Sample sizes: individual randomization target ~290 households/arm (~870 households/country) allowing 15% attrition; biomarker n≈250 per country. Alternate cluster scenario: 29 clusters/arm if market-cluster randomization required. Primary metric: per-capita fruit intake (g/day). Secondary metrics: biomarker concentrations, voucher redemption rate, price per kg, fruit diversity score, anthropometry. Baseline covariates for precision: baseline intake, SES tercile, urban/rural, household size. Primary analysis: ANCOVA (analysis of covariance; linear model including baseline outcome as covariate) estimating ITT contrasts Low vs Control and High vs Control, with cluster-robust standard errors at randomization unit and strata fixed effects; random intercepts for market and household (mixed model) as robustness. Instrumental variable (IV) analysis: 2SLS (two-stage least squares; assignment instrumenting redemption) to estimate LATE (local average treatment effect). Multiple testing: define primary family (primary intake and affordability) and adjust with Romano-Wolf; exploratory family adjust with Benjamini-Hochberg. Missing data: pre-specified inverse-probability weighting (IPW) and multiple imputation (MICE) with sensitivity tables describing attrition thresholds. Spillover estimation: partial-interference estimators using exposure mapping (share of nearest vendors treated) and spatial IVs (distance-weighted exposure); falsification tests on pre-treatment outcomes. Ablations: compare ITT vs per-protocol, with and without SMS nudge, and voucher-validity pilot. Pre-randomization: stratified block randomization by country × urban/rural × baseline intake tertile × SES tercile with constrained draws ensuring standardized differences &lt;0.1; document seeds and selection rules.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Spillovers and contamination: treated demand may affect nearby control households through common vendors, biasing ITT if not properly estimated. Supply-side failure modes: rapid demand increases can cause local price spikes, vendor shortages, or quality declines, altering program effects and welfare for non-participants. Measurement error: 24-hour recalls rely on memory and portion estimation, producing random and systematic error; biomarkers reduce but do not eliminate measurement noise (assay variability, hemolysis). Noncompliance and fraud: low redemption, resale, or falsified redemptions can distort treatment intensity. Attrition and missing data: differential dropout across arms may bias estimates if missingness relates to outcomes. Seasonal effects: fruit availability and intake vary by season, limiting generalization across time. Power limits: subgroup analyses and some biomarker endpoints may be underpowered, especially under higher ICCs (intracluster correlation; a measure of similarity within clusters) or attrition. Ethical risks: scarcity manipulations or nudges may exert undue pressure on vulnerable households. Privacy and legal constraints: geotagging and biospecimen export may face regulatory limits and create re-identification risks. External validity: peri-urban/urban results may not generalize to rural or other country contexts. Computational limits: complex partial-interference estimators and large mixed models require careful computation and reproducibility controls.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