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ageing_workforce_osh_qstudy</w:t>
      </w:r>
    </w:p>
    <w:p>
      <w:r>
        <w:t xml:space="preserve"> </w:t>
      </w:r>
    </w:p>
    <w:p>
      <w:pPr>
        <w:pStyle w:val="Heading2"/>
      </w:pPr>
      <w:r>
        <w:t>Title</w:t>
      </w:r>
    </w:p>
    <w:p>
      <w:r>
        <w:t>Questionnaire-based exploratory study of occupational safety and health (OSH) interventions and their impact on productivity and performance in an ageing workforce</w:t>
      </w:r>
    </w:p>
    <w:p>
      <w:r>
        <w:t xml:space="preserve"> </w:t>
      </w:r>
    </w:p>
    <w:p>
      <w:pPr>
        <w:pStyle w:val="Heading2"/>
      </w:pPr>
      <w:r>
        <w:t>Short Hypothesis</w:t>
      </w:r>
    </w:p>
    <w:p>
      <w:r>
        <w:t>Workplaces that implement age-tailored OSH interventions will achieve a mean increase of at least 2 points in Work Ability Index (WAI) at 12 months compared with workplaces without such interventions.</w:t>
      </w:r>
    </w:p>
    <w:p>
      <w:r>
        <w:t xml:space="preserve"> </w:t>
      </w:r>
    </w:p>
    <w:p>
      <w:pPr>
        <w:pStyle w:val="Heading2"/>
      </w:pPr>
      <w:r>
        <w:t>Related Work</w:t>
      </w:r>
    </w:p>
    <w:p>
      <w:r>
        <w:t>Existing work shows that ergonomic adjustments and workplace health programs can reduce absenteeism and improve morale and functional outcomes in older workers. Approaches fall into (1) ergonomic engineering (workstation redesign, assistive devices), (2) clinical/health programs (screening, fitness, chronic disease management), and (3) psychosocial interventions (job redesign, training). Limitations across prior studies include small samples or single sites, short follow-up, inconsistent or subjective productivity measures, limited use of cluster-randomized designs, sparse prespecification of clinically meaningful thresholds, weak validation of wearable-derived metrics, ad-hoc biomarker subsampling that risks selection bias, and insufficient causal mediation analysis to identify mechanisms. Many studies also omit detailed data-governance or cross-jurisdictional workflows, limiting reproducibility and scaling.</w:t>
      </w:r>
    </w:p>
    <w:p>
      <w:r>
        <w:t xml:space="preserve"> </w:t>
      </w:r>
    </w:p>
    <w:p>
      <w:pPr>
        <w:pStyle w:val="Heading2"/>
      </w:pPr>
      <w:r>
        <w:t>Abstract</w:t>
      </w:r>
    </w:p>
    <w:p>
      <w:r>
        <w:t>Ageing workforces present specific safety, health, and productivity challenges. This study uses an exploratory, questionnaire-based framework across multiple workplaces to map common occupational safety and health (OSH) interventions for workers aged 50+ and to measure how contextual drivers and barriers shape effects on safety performance and productivity. The approach combines Tier-1 core data (validated questionnaires, basic vitals, grip strength, TUG, 6MW, and key labs) collected in all participants with a stratified Tier-2 subsample (biomarkers and continuous wearable streams) to test mechanistic pathways. The main contribution is a prespecified, reproducible package: primary endpoint (WAI change at 12 months with MCID = 2), co-primary functional measures, subsampling rules, data-harmonization standards, and an analysis plan emphasizing cluster-aware mixed models and mediation analyses. Expected outcomes are an empirically grounded map of effective OSH interventions for ageing workers, quantification of drivers and barriers influencing productivity, and a protocol-ready package for future definitive trials and cost-effectiveness modeling.</w:t>
      </w:r>
    </w:p>
    <w:p>
      <w:r>
        <w:t xml:space="preserve"> </w:t>
      </w:r>
    </w:p>
    <w:p>
      <w:pPr>
        <w:pStyle w:val="Heading2"/>
      </w:pPr>
      <w:r>
        <w:t>Experiments</w:t>
      </w:r>
    </w:p>
    <w:p>
      <w:r>
        <w:t>Datasets: multisite collection from 36 workplaces across sectors, target sample ~2,160 workers aged ≥50 (cluster size ≈30; 18 clusters per arm), Tier-2 stratified random subsample 25–40% (n≈540–864) balanced by age band, sex, job type, and multimorbidity. Core variables: WAI, JCQ, Utrecht Work Engagement Scale, WAI components, absenteeism records, incident injuries, grip strength, TUG, 6MW, pain VAS, basic labs (fasting glucose, lipids), standardized ergonomic risk scores (RULA/REBA), and productivity logs (throughput, time-on-task, error rates). Tier-2: hs-CRP, IL-6, cortisol, continuous IMU streams (≥50 Hz), EMG summaries. Baselines: (A) no-intervention control workplaces, (B) workplaces with universal ergonomic package (Tier-1 intervention), (C) workplaces with ergonomic+psychosocial package. Evaluation metrics: primary = mean change in WAI at 12 months (MCID=2); co-primary = mean change in grip strength (MCID=5 kg) or TUG (MCID=2 s); secondary = pain VAS change (MCID=15 mm), 6MW change (MCID=30 m), days absent, injury incidence rate, productivity change (percent throughput), cost per QALY (employer and societal perspective). Statistical setup: primary analyses with linear mixed-effects models (random intercepts for cluster and individual; treatment-by-time interaction) — mixed-effects models are models that account for grouped data by letting each group have its own baseline. Sensitivity: GEE (population-average), negative-binomial mixed models for counts, Cox frailty models for time-to-injury. Missing data: multiple imputation under MAR (predictors: baseline outcome, age, sex, job type), with MNAR sensitivity via pattern-mixture/delta-adjustment. Power/simulation: R scripts to simulate ICC in 0.01–0.05, attrition 5–20%; example target: detect WAI mean diff = 2 (SD=6) with 18–25 clusters per arm and cluster size 30. Comparisons and ablations: (1) compare control vs ergonomic-only vs ergonomic+psychosocial; (2) ablation removing Tier-2 data to quantify added explanatory power for mediation models (compare proportion mediated and model fit); (3) compare hierarchical multiplicity control (gatekeeping) vs Bonferroni on co-primary outcomes. Feature validation: compare wearable-derived posture/load metrics to lab-based gold-standard subsample (n≈60) to report reliability (ICC reliability here means intraclass correlation coefficient, a measure of agreement). Pre-registration: full SAP, variable dictionary, simulation code, and analysis scripts released before analysis.</w:t>
      </w:r>
    </w:p>
    <w:p>
      <w:r>
        <w:t xml:space="preserve"> </w:t>
      </w:r>
    </w:p>
    <w:p>
      <w:pPr>
        <w:pStyle w:val="Heading2"/>
      </w:pPr>
      <w:r>
        <w:t>Risk Factors And Limitations</w:t>
      </w:r>
    </w:p>
    <w:p>
      <w:r>
        <w:t>Selection bias: workplaces or workers who opt in may differ from target population, limiting external validity. Confounding: in nonrandomized comparisons, unmeasured workplace factors may bias effect estimates. Measurement error: self-reported productivity and symptom scores can be biased; wearable-derived features may have algorithmic errors or poor validation. Missing data and attrition: high dropout or nonresponse in older workers may reduce power and bias results. Tier-2 underpowering: subsample sizes may be insufficient for subgroup mechanistic inference. Contamination: worker movement between clusters may dilute between-group differences. Legal and data-flow constraints: cross-jurisdictional data transfer and differing regulations can restrict data sharing. Burden and equity: assessment burden and access barriers can produce biased samples and differential missingness. Cost and scalability: interventions requiring hardware or clinic pathways may be costly to scale across sectors. Generalizability: results may not apply to sectors, countries, or age ranges not represented in the sample. Temporal confounding: workplace changes or external events during follow-up may affect outcomes independent of interventions.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