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circular_ecosystem_osh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Stepped-wedge cluster-randomized mixed-methods evaluation of a circular-ecosystem occupational safety and health intervention across countries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Implementing a circular-ecosystem OSH intervention at the cluster level will reduce the 12-month incidence rate of clinically adjudicated work-related musculoskeletal disorders by 20% (incidence rate ratio = 0.80) compared with standard practice, conditional on the pre-specified confounder set.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has applied multi-level and systems approaches to occupational safety and health (OSH), used cluster trials and cohort studies to measure intervention effects, constructed job-exposure matrices (JEMs) to estimate exposures, and developed guidance on measurement harmonization and implementation science frameworks. Limitations include: fragmented attention to the full intervention life cycle (design, implementation, evaluation, follow-up) and to circular resource/actor flows; weak or absent rules for allowable local adaptation; inconsistent cross-national harmonization of instruments and poor handling of measurement non-invariance across languages; limited protocols for sampling informal or multiple-job workers; ad hoc JEM calibration with few sensor validation substudies; sparse standardized adjudication algorithms for occupational attribution; little operationalization of contamination/spillover measurement; and insufficient integration of governance indices as time-varying contextual modifiers. These gaps limit causal clarity, cross-country comparability, and scalable guidance for adaptation.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Workplace interventions often fail to generalize across countries because they treat activities as isolated actions rather than parts of a living system. We propose a circular-ecosystem intervention framework for occupational safety and health (OSH) and an integrated mixed-methods evaluation protocol to test effectiveness and contextual drivers across countries. The study uses a stepped-wedge cluster-randomized design (clusters cross from control to intervention in scheduled steps) combined with a prospective cohort, qualitative expert elicitation, sensor-calibrated substudies, and Bayesian multilevel modeling (a statistical approach that pools information across levels such as workers, firms, and countries). Main contributions are: (1) a concrete operational protocol with non-negotiable core components and explicit adaptation rules; (2) harmonized measurement and adjudication algorithms with validation and sensor SOPs; and (3) incorporation of governance and spillover metrics as time-varying modifiers. Expected outcomes are robust estimates of intervention effect on adjudicated musculoskeletal outcomes, quantified context effects, validated JEM calibration procedures, and an implementable cross-national toolkit for scalable OSH interventions.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 data from 3 diverse countries (one high-, one middle-, one low-income) with 20 clusters per country and mean cluster size 200 workers (per-country N=4000; pooled N=12,000). Nested prospective cohort includes all enrolled workers followed 12 months. Sensor substudies: 5-10% random sample per country with accelerometers (for biomechanical load) and personal air sampling/dosimetry (for chemicals/noise). Qualitative: Delphi (60–100 experts), 20–30 key informant interviews per pilot country, and 6–10 sector focus groups per country. Baselines: (A) usual practice control, (B) standard single-component OSH intervention (non-ecosystem), (C) full circular-ecosystem intervention. Primary outcome: 12-month incidence of clinically adjudicated work-related musculoskeletal disorders (binary per person-period). Baseline comparators: usual practice and non-ecosystem intervention. Evaluation metrics: incidence rate ratio (IRR) and risk difference with 95% posterior intervals; absolute incidence reduction per 1000 workers; fidelity score (0-100) for core components; contamination index (% workers with cross-cluster exposure); intracluster correlation coefficient (ICC); measurement invariance indices (CFI, RMSEA) for instruments; adjudication inter-rater kappa. Statistical models and analysis: Bayesian multilevel Poisson or negative-binomial models for incidence (log link), with worker, cluster, sector, and country random effects; include country-level governance indices as cross-level modifiers; marginal structural models for time-varying confounding (stabilized weights); partial-interference models to estimate spillover effects (models that allow interference within defined groups). Power and design parameters: assume outcome baseline incidence 5%/year, target IRR=0.80, ICC scenarios {0.01,0.02,0.05}; report design-effect adjusted sample-size calculations per ICC. JEM and sensor validation: calibrate JEM exposure bands to sensor measurements via regression calibration and quantify misclassification by sensitivity/specificity; conduct ablation study comparing (i) ecosystem intervention vs usual practice, (ii) ecosystem intervention vs non-ecosystem intervention, and (iii) full model using sensor-calibrated JEMs vs model using JEM-only exposures. Additional analyses: subgroup analyses by sector and governance index terciles; prior sensitivity analyses using Delphi-elicited informative priors versus weakly informative priors; rare-outcome contingency: implement case-cohort sampling or pooled analysis if per-country event counts are insufficient.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heterogeneity: translations and cultural differences may cause non-invariant survey items (technical term: DIF = differential item functioning), which can bias pooled estimates. Missing data and nonresponse: attrition or low participation among informal or shift workers can bias results; respondent-driven sampling (RDS) frames introduce complex weighting and may not fully recover a probability sample. Contamination and spillover: cross-cluster worker movement or information diffusion can dilute estimated effects and complicate attribution. Cluster design sensitivity: varying ICCs or lower-than-expected event rates will reduce power and may require adaptive re-estimation or increased sample size. JEM misclassification: JEM-only exposure estimates may poorly capture individual variation without adequate sensor calibration. Adjudication limits: clinician adjudication is resource intensive and may produce delays or inconsistent rulings despite training. Governance and legal constraints: country-specific data sharing, consent, and ethics rules may restrict pooled analyses or sensor use. Scalability and cost: sensor substudies, adjudication committees, and intensive sampling are expensive and may not be feasible at full scale in low-resource settings. Model and generalization limits: Bayesian multilevel and systems models rely on structural assumptions and priors; misspecification can mislead inference. Computational limits: fully Bayesian calibration and multiple sensitivity analyses require substantial compute time and expertise.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