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gendered_altruism_eldercare_thailand</w:t>
      </w:r>
    </w:p>
    <w:p>
      <w:r>
        <w:t xml:space="preserve"> </w:t>
      </w:r>
    </w:p>
    <w:p>
      <w:pPr>
        <w:pStyle w:val="Heading2"/>
      </w:pPr>
      <w:r>
        <w:t>Title</w:t>
      </w:r>
    </w:p>
    <w:p>
      <w:r>
        <w:t>Cluster-randomized mixed-methods trial testing the effect of gendered altruism social norms on unpaid eldercare provision in Thailand</w:t>
      </w:r>
    </w:p>
    <w:p>
      <w:r>
        <w:t xml:space="preserve"> </w:t>
      </w:r>
    </w:p>
    <w:p>
      <w:pPr>
        <w:pStyle w:val="Heading2"/>
      </w:pPr>
      <w:r>
        <w:t>Short Hypothesis</w:t>
      </w:r>
    </w:p>
    <w:p>
      <w:r>
        <w:t>Altering community-level gendered altruistic norms causes a change in average unpaid care hours provided to elderly persons by caregivers in treated villages relative to control villages in Thailand.</w:t>
      </w:r>
    </w:p>
    <w:p>
      <w:r>
        <w:t xml:space="preserve"> </w:t>
      </w:r>
    </w:p>
    <w:p>
      <w:pPr>
        <w:pStyle w:val="Heading2"/>
      </w:pPr>
      <w:r>
        <w:t>Related Work</w:t>
      </w:r>
    </w:p>
    <w:p>
      <w:r>
        <w:t>Existing work uses social norms interventions, vignette experiments, and surveys to study caregiving and gender norms. Prior approaches often measure norms directly (self-report), use single-site pilots, or deploy information-only treatments. Limitations include strong social desirability bias in direct reports, weak validation of norm scales across languages and groups, little use of indirect elicitation (e.g., list experiments, randomized response), inadequate handling of spillovers in clustered designs, and sparse linkage of survey reports to administrative care records for validation. Mediation analyses in past studies often omit sensitivity bounds for unmeasured confounding and lack longitudinal mediator timing. Qualitative work is sometimes separate rather than integrated iteratively to refine instruments. These gaps leave open measurement validity, interference, and causal mediation identification problems.</w:t>
      </w:r>
    </w:p>
    <w:p>
      <w:r>
        <w:t xml:space="preserve"> </w:t>
      </w:r>
    </w:p>
    <w:p>
      <w:pPr>
        <w:pStyle w:val="Heading2"/>
      </w:pPr>
      <w:r>
        <w:t>Abstract</w:t>
      </w:r>
    </w:p>
    <w:p>
      <w:r>
        <w:t>Unpaid eldercare in Thailand imposes large time and wellbeing costs on family caregivers; gendered expectations about altruism may shape who provides care and how much. We propose a cluster-randomized mixed-methods trial that manipulates descriptive and injunctive gendered-altruism messages and measures effects on unpaid care hours, formal-care uptake, and caregiver wellbeing. The design combines indirect norm elicitation (list experiments and randomized response), vignette manipulations, a 24-hour time-use diary, standardized ADL/IADL measures for elders, and administrative linkage where possible. Main contributions are (1) experimentally estimating causal effects of gendered altruism norms on care provision while accounting for spillovers using network data, and (2) validating norm measurement across regions and dialects with multi-group factor analysis. Expected outcomes include robust estimates of norm effects, validated instruments for norm measurement, and policy-relevant evidence on how norm-targeted messages affect care burdens and formal-care demand in Thailand.</w:t>
      </w:r>
    </w:p>
    <w:p>
      <w:r>
        <w:t xml:space="preserve"> </w:t>
      </w:r>
    </w:p>
    <w:p>
      <w:pPr>
        <w:pStyle w:val="Heading2"/>
      </w:pPr>
      <w:r>
        <w:t>Experiments</w:t>
      </w:r>
    </w:p>
    <w:p>
      <w:r>
        <w:t>Datasets: primary household survey panel (baseline, midline at 3 months, endline at 12 months) including caregivers and elders; 24-hour time-use diary; name-generator network data (who you talk to about care); optional linked administrative records on formal-care use (subject to consent and MOUs). Baselines: (A) control (no norm message), (B) descriptive-norm message arm (information on typical caregiving behavior), (C) injunctive-norm message arm (information on community approval), and optional (D) combined norm+policy information. Evaluation metrics: average unpaid care hours/week (constructed from 24-hour diary and 7-day recall), formal-care uptake (binary use in past 12 months), caregiver wellbeing (CES-D and WHO-5 scales; explain: CES-D is a standard depression symptom score; WHO-5 is a short wellbeing scale), caregiver burden (Zarit short form), elder function (ADL/IADL counts), and validated norm scores (factor scores). Experimental setup: cluster-randomized trial at village level with ~150 clusters, ~3,600 caregivers total, 3 main arms, ~50 clusters/arm; oversample male and high-intensity caregivers (2x screening probability). Measurement: implement list experiments (indirect elicitation; counts-based method) and randomized-response technique modules to estimate sensitive norm prevalence; conduct cognitive interviews across dialects for item calibration. Analysis: primary estimand ITT (intent-to-treat) using covariate-adjusted ANCOVA with cluster-robust standard errors; report wild cluster bootstrap p-values and randomization inference where cluster counts are small; secondary CACE (complier average causal effect) via IV (assignment instrumenting uptake). Mediation: longitudinal mediation with midline mediators and endline outcomes; apply Imai causal mediation and VanderWeele sensitivity bounds (explain: these are formal tests that check how strong hidden confounding must be to change mediation conclusions). Spillovers: estimate direct and indirect effects using Hudgens &amp; Halloran extensions (network-aware estimators) and two-stage randomization estimators when feasible. Multiple testing: apply familywise and false discovery rate controls (e.g., Benjamini-Hochberg). Ablation studies: compare arms pairwise (A vs B, A vs C, B vs C) and compare norm measurement pipelines (direct self-report only vs direct + indirect elicitation) to assess measurement bias.</w:t>
      </w:r>
    </w:p>
    <w:p>
      <w:r>
        <w:t xml:space="preserve"> </w:t>
      </w:r>
    </w:p>
    <w:p>
      <w:pPr>
        <w:pStyle w:val="Heading2"/>
      </w:pPr>
      <w:r>
        <w:t>Risk Factors And Limitations</w:t>
      </w:r>
    </w:p>
    <w:p>
      <w:r>
        <w:t>Social desirability and measurement error: norm-sensitive items may remain biased even with indirect elicitation. Spillovers and interference: cross-cluster social ties may violate no-interference and complicate estimands. Administrative linkage failure: MOUs or consent may be incomplete, leaving validation gaps. Attrition and noncompliance: differential drop-out or low exposure reduces power and complicates causal interpretation. Power limits for subgroups: subgroup analyses (e.g., male caregivers) may be underpowered if oversampling targets are not met. MNAR (missing not at random): attrition or item nonresponse could bias results if missingness depends on unobserved outcomes. Cultural heterogeneity: instruments validated in some regions or dialects may not generalize across all Thai subpopulations. Ethical risks: discussing norms and caregiving may cause distress or household conflict. Analytic complexity and computation: network-aware estimators and sensitivity analyses increase modeling complexity and computation, which may limit rapid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