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trade_agreements_sustainable_fisheries</w:t>
      </w:r>
    </w:p>
    <w:p>
      <w:r>
        <w:t xml:space="preserve"> </w:t>
      </w:r>
    </w:p>
    <w:p>
      <w:pPr>
        <w:pStyle w:val="Heading2"/>
      </w:pPr>
      <w:r>
        <w:t>Title</w:t>
      </w:r>
    </w:p>
    <w:p>
      <w:r>
        <w:t>Difference-in-differences combined with propensity score matching to assess the effect of trade agreements' fisheries provisions on marine mean trophic level</w:t>
      </w:r>
    </w:p>
    <w:p>
      <w:r>
        <w:t xml:space="preserve"> </w:t>
      </w:r>
    </w:p>
    <w:p>
      <w:pPr>
        <w:pStyle w:val="Heading2"/>
      </w:pPr>
      <w:r>
        <w:t>Short Hypothesis</w:t>
      </w:r>
    </w:p>
    <w:p>
      <w:r>
        <w:t>Countries that sign free trade agreements containing fisheries-related provisions experience a measurable increase in marine mean trophic level (MTL) within five years after signing compared to comparable countries that do not sign such agreements.</w:t>
      </w:r>
    </w:p>
    <w:p>
      <w:r>
        <w:t xml:space="preserve"> </w:t>
      </w:r>
    </w:p>
    <w:p>
      <w:pPr>
        <w:pStyle w:val="Heading2"/>
      </w:pPr>
      <w:r>
        <w:t>Related Work</w:t>
      </w:r>
    </w:p>
    <w:p>
      <w:r>
        <w:t>Prior work uses ecological indicators like mean trophic level (MTL) to measure 'fishing down the food web' and separately studies trade liberalization or subsidies as drivers of fishing pressure. Econometric studies commonly apply panel fixed-effects or simple before-after comparisons; causal inference work uses difference-in-differences (DiD) and synthetic control methods to exploit timing variation. Matching methods such as propensity score matching (PSM) are used to reduce selection bias by pairing treated and untreated units with similar observed covariates. Economic models (partial equilibrium, CGE) estimate welfare and distributional impacts but rarely connect directly to biological indicators. Limitations in existing approaches include: selection bias when countries self-select into agreements, weak control of time-varying confounders, coarse treatment definitions that ignore clause-level detail, measurement error and undercoverage in fisheries and trade data (especially small-scale fleets), and lack of reproducible, pre-registered analysis. Synthetic control methods help for single-case inference but scale poorly for many treated units.</w:t>
      </w:r>
    </w:p>
    <w:p>
      <w:r>
        <w:t xml:space="preserve"> </w:t>
      </w:r>
    </w:p>
    <w:p>
      <w:pPr>
        <w:pStyle w:val="Heading2"/>
      </w:pPr>
      <w:r>
        <w:t>Abstract</w:t>
      </w:r>
    </w:p>
    <w:p>
      <w:r>
        <w:t>This study evaluates whether signing free trade agreements (FTAs), and specifically FTAs containing fisheries-related provisions, affects the sustainability of marine fisheries as measured by changes in mean trophic level (MTL). We combine a global MTL time series (1950–2018) with a clause-level dataset of environmental provisions in trade agreements (1947–2018) and other covariates (trade flows, fleet structure, enforcement indices, climate drivers). Our identification strategy pairs propensity score matching (to create comparable treated and control groups) with difference-in-differences estimation (to compare before/after changes), and includes event-study tests and placebo permutations to assess validity. The main contribution is a reproducible, pre-registered causal pipeline that links legal instrument detail to a biologically meaningful indicator, quantifies average treatment effects, and reports uncertainty from data and model choices. Expected outcomes include empirically supported estimates of whether and how fisheries provisions change MTL, documented sensitivity to treatment definitions and data gaps, and openly shared code and diagnostic outputs for policy review.</w:t>
      </w:r>
    </w:p>
    <w:p>
      <w:r>
        <w:t xml:space="preserve"> </w:t>
      </w:r>
    </w:p>
    <w:p>
      <w:pPr>
        <w:pStyle w:val="Heading2"/>
      </w:pPr>
      <w:r>
        <w:t>Experiments</w:t>
      </w:r>
    </w:p>
    <w:p>
      <w:r>
        <w:t>Datasets: (1) Global mean trophic level (MTL) by country-year, 1950–2018; (2) trade agreements database with year of signature/entry and clause-level coding for fisheries-related provisions, 1947–2018; (3) COMTRADE customs data, country-year exports/imports by HS codes; (4) AIS/VMS-derived vessel exposure and coverage metrics; (5) FAO/stock-status indicators (B/Bmsy, F/Fmsy) where available; (6) country-year covariates: GDP per capita, coastal fleet composition (industrial vs small-scale), RFMO membership, subsidy inventories, climate indices (SST, productivity). Preprocessing: harmonize country identifiers, construct country-year panel, code treatment as (A) any FTA signed in year t, (B) FTA with fisheries provision signed in t, create treatment indicator that turns 1 in t and subsequent years. Match covariates: pre-treatment MTL trend (5-year slope), GDP per capita, fleet composition, AIS coverage, RFMO membership, subsidies, baseline enforcement index. Propensity score matching: logistic regression for treatment probability; nearest-neighbor matching with caliper 0.1 on logit score; one-to-two matching allowed. Balance checks: standardized mean differences (SMD) target &lt;0.1. Main estimator: DiD on matched sample: MTL_{c,t} = alpha_c + gamma_t + beta * Treat_{c,t} + X_{c,t} delta + e_{c,t}; cluster standard errors at country level; report ATT = beta. Event-study: estimate year-relative-to-treatment coefficients for -8 to +8 years to test parallel trends. Baselines: (1) OLS panel FE without matching, (2) DiD with inverse-probability weights, (3) synthetic control for selected case studies, (4) DiD using alternative outcome B/Bmsy where available. Ablations: (i) matching omitted, (ii) treatment = any FTA vs treatment = FTA with fisheries clauses, (iii) exclude countries with AIS coverage &lt;50%, (iv) alternative matching algorithms (entropy balancing, coarsened exact matching). Hypothesis tests: two-sided t-tests for ATT, 95% bootstrap confidence intervals (1000 replications), placebo permutation tests with 1000 randomly assigned treatment years to generate null distribution. Diagnostics: pre-trend p-value, post-treatment dynamics, SMD balances, mass-balance checks between reconstructed catch and trade. Power analysis: compute minimum detectable effect (MDE) for ATT at 80% power given sample size and observed outcome variance. Reproducibility: publish code, seeds, and model parameter tables; containerized environment for replication.</w:t>
      </w:r>
    </w:p>
    <w:p>
      <w:r>
        <w:t xml:space="preserve"> </w:t>
      </w:r>
    </w:p>
    <w:p>
      <w:pPr>
        <w:pStyle w:val="Heading2"/>
      </w:pPr>
      <w:r>
        <w:t>Risk Factors And Limitations</w:t>
      </w:r>
    </w:p>
    <w:p>
      <w:r>
        <w:t>Measurement error: MTL estimates aggregate many species and depend on catch data that can be misreported, causing biased outcomes. Undercoverage: small-scale fleets and informal trade are often missing or poorly observed, limiting generalization. Treatment misclassification: clause coding may miss de facto enforcement or informal side agreements, producing noisy treatment labels. Unobserved confounding: time-varying factors (e.g., simultaneous domestic reforms, enforcement changes) may violate parallel trends required for DiD. Spillovers and displacement: neighboring countries' policies or transshipment can create cross-border spillovers that bias estimates. Low statistical power: effects may be modest and hard to detect given temporal noise in ecological indicators. Heterogeneous treatment effects: averaged ATT may mask opposite effects across fleet types or regions. Computational limits: matching and many placebo permutations on long panels require moderate compute and careful storage management. Limits to causal interpretation: even with PSM+DiD, residual selection on unobservables can remain; results should be read as conditional on identification assumptions.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