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modularity_data_provenance</w:t>
      </w:r>
    </w:p>
    <w:p>
      <w:r>
        <w:t xml:space="preserve"> </w:t>
      </w:r>
    </w:p>
    <w:p>
      <w:pPr>
        <w:pStyle w:val="Heading2"/>
      </w:pPr>
      <w:r>
        <w:t>Title</w:t>
      </w:r>
    </w:p>
    <w:p>
      <w:r>
        <w:t>Hierarchical Bayesian modeling with digital‑twin calibration to quantify modularity effects in modular product families</w:t>
      </w:r>
    </w:p>
    <w:p>
      <w:r>
        <w:t xml:space="preserve"> </w:t>
      </w:r>
    </w:p>
    <w:p>
      <w:pPr>
        <w:pStyle w:val="Heading2"/>
      </w:pPr>
      <w:r>
        <w:t>Short Hypothesis</w:t>
      </w:r>
    </w:p>
    <w:p>
      <w:r>
        <w:t>Providing versioned provenance metadata and calibrated digital‑twin priors for product family artifacts causally reduces estimation error and increases statistical power when estimating the effect of modularity metrics on time‑to‑market and defect density relative to analyses that use unprovenanced records.</w:t>
      </w:r>
    </w:p>
    <w:p>
      <w:r>
        <w:t xml:space="preserve"> </w:t>
      </w:r>
    </w:p>
    <w:p>
      <w:pPr>
        <w:pStyle w:val="Heading2"/>
      </w:pPr>
      <w:r>
        <w:t>Related Work</w:t>
      </w:r>
    </w:p>
    <w:p>
      <w:r>
        <w:t>Existing work defines many modularity metrics (graph modularity, coupling/decoupling indexes, interface complexity) and relates architectural structure to reuse and economic outcomes. Related studies apply dependency graphs, BOM analysis, and simple reuse statistics to compare variants, and some use simulations or digital twins to examine integration effort. Empirical work often relies on cross‑sectional samples or case studies and simple regression models, while method papers propose metrics but rarely enforce provenance rules. Statistical methods for nested product data use multilevel models, and measurement‑error literature shows noisy architectural codings bias estimates. Limitations in current approaches include inconsistent metric definitions, ad hoc edge weighting, missing or non‑versioned provenance, small or non‑longitudinal samples, weak treatment of confounding and measurement error, limited use of calibrated synthetic priors from twins, and no standard cross‑domain normalization. These gaps make effect estimates unstable and hard to reproduce.</w:t>
      </w:r>
    </w:p>
    <w:p>
      <w:r>
        <w:t xml:space="preserve"> </w:t>
      </w:r>
    </w:p>
    <w:p>
      <w:pPr>
        <w:pStyle w:val="Heading2"/>
      </w:pPr>
      <w:r>
        <w:t>Abstract</w:t>
      </w:r>
    </w:p>
    <w:p>
      <w:r>
        <w:t>Quantifying how architectural modularity affects economic outcomes in product families is hampered by poor data quality, missing provenance, and limited experimental priors. We propose a combined empirical and simulation method that (1) enforces versioned provenance and a minimal artifact schema for component, interface, and change records; (2) computes a modularity measurement core (graph modularity, cross‑module coupling, feature co‑occurrence, interface complexity) with recorded weighting provenance; and (3) fits a three‑level hierarchical Bayesian model (variants nested in families nested in domain) that includes measurement‑error models and is calibrated using digital‑twin ensembles. A digital twin is a simulated, parameterized model of product family behavior used here to produce informed priors for substitutability cost and interface complexity. The main contribution is an end‑to‑end reproducible pipeline that combines provenance‑rich data, calibrated synthetic priors, and hierarchical inference to produce stable, testable estimates of modularity effects on time‑to‑market and defect density. Expected outcomes are reduced estimation error, clearer causal tests of modularity pathways, and a validated set of sign‑off criteria for future studies.</w:t>
      </w:r>
    </w:p>
    <w:p>
      <w:r>
        <w:t xml:space="preserve"> </w:t>
      </w:r>
    </w:p>
    <w:p>
      <w:pPr>
        <w:pStyle w:val="Heading2"/>
      </w:pPr>
      <w:r>
        <w:t>Experiments</w:t>
      </w:r>
    </w:p>
    <w:p>
      <w:r>
        <w:t>Datasets: primary empirical dataset = automotive ECU families with BOMs, AUTOSAR interface/signal lists, firmware VCS logs, integration/test logs (time stamps), calibration/recertification records, field‑failure/warranty logs, and governance artifacts; cross‑domain validation datasets = smartphone platform modules and industrial robotics families with analogous records. Preprocessing: canonicalize IDs, apply UTC timestamps, construct versioned graph snapshots per release, compute edge weights with recorded scheme (default composite weight = normalize(0.4*frequency + 0.4*criticality + 0.2*data_volume)). Compute MMC metrics per variant: M_NG (weighted Newman–Girvan modularity; Newman–Girvan is a community detection score), IMCF (inter‑module coupling fraction = cross‑module weight / total weight), FCS (feature co‑occurrence similarity), ICI (interface complexity index = weighted interface count), Granularity G, and Layering Strictness. Baselines: (A) naive analysis using unprovenanced features only; (B) graph metrics without edge weighting or provenance; (C) multilevel models without measurement‑error corrections; (D) models without digital‑twin priors. Modeling: fit preregistered three‑level hierarchical Bayesian models with standardized predictors, measurement‑error components for MMC (latent true MMC), and Governance Centralization Index as moderator. Use MCMC sampling; report posterior means, 95% credible intervals, posterior predictive checks (PPC). Evaluation metrics: parameter bias and RMSE against twin ground truth (in simulation), credible interval coverage, calibration (PPC p‑value), power to detect effect size Cohen's d=0.5, change in posterior SD for key betas, cross‑domain rank correlation for MMC→ECO effects, and predictive log density on held‑out families. Ablation studies: remove provenance fields (compare estimates), drop twin priors (compare posterior variance), omit measurement‑error model (compare bias), and vary edge‑weight schemes (compare robustness). Swap/substitution experiment: run controlled swaps in twin and (if feasible) 10 physical swap tests; measure realized SCost in hours, introduced defects, and integration cycles; compare modeled SCost distribution to observed. Sample sizes and synthetic augmentation: empirical target = 50–100 variants across 10–20 families with &gt;=3 release cycles; augment with digital‑twin ensembles of 1000 simulated variants to assess sensitivity and inform priors. Predefined tests: leave‑one‑family‑out and leave‑one‑domain‑out for external validity, IV tests when exogenous policy changes exist, and negative controls (outcomes not plausibly affected by modularity).</w:t>
      </w:r>
    </w:p>
    <w:p>
      <w:r>
        <w:t xml:space="preserve"> </w:t>
      </w:r>
    </w:p>
    <w:p>
      <w:pPr>
        <w:pStyle w:val="Heading2"/>
      </w:pPr>
      <w:r>
        <w:t>Risk Factors And Limitations</w:t>
      </w:r>
    </w:p>
    <w:p>
      <w:r>
        <w:t>Data access and completeness: required provenance fields, interface specs, or time‑stamped test logs may be missing or proprietary. Measurement error: architectural codings and edge weights may be noisy; latent measurement models rely on duplicate codings which may be unavailable. Confounding and identification: unobserved firm practices or market shocks can bias causal estimates; instrumental variables may be weak or invalid. Digital‑twin misspecification: synthetic priors derived from twins can mislead if twin assumptions differ from real processes. Generalization limits: findings from automotive ECUs may not transfer to other domains despite normalization attempts. Computational cost: hierarchical Bayesian MCMC with measurement‑error models and large twins is compute‑intensive. Governance index subjectivity: constructing Governance Centralization Index from interviews involves subjective coding and may introduce bias. Evaluation bias: cross‑domain alignment methods may alter the underlying modularity signal. No mitigation strategies provided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