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shrinkflation_japan_cpi_hedonics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Algorithmic detection and hedonic-adjusted measurement of shrinkflation effects on Japan's consumer price index using scanner, GS1, and image data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Category-specific exogenous input-cost shocks causally increase the probability that Japanese food and household SKUs implement persistent package net_quantity reductions (≥5% persisting ≥8 weeks).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scanner and retail data to study price changes and measurement bias, applies unit-value indices (price per unit weight/volume) to adjust CPI, and uses hedonic regressions to control for quality change (a hedonic regression models price as a function of product attributes). Prior detection efforts rely mostly on metadata or price-only signals and often miss packaging changes or product-replacements. Image-based verification and OCR of net-quantity panels are nascent in the literature. Instrumental-variable (IV) strategies using commodity or exchange-rate shocks have been proposed but remain limited in SKU-level exposure construction and validation. Consumer-behavior linkage (surveys/field experiments linked to scanner events) is rarely integrated with econometric identification. Limitations: weak or single-source detection leads to false positives/negatives; sparse validation samples; weak instruments at SKU granularity; incomplete separation of size change versus formulation change; and limited policy-oriented disclosure proposals tied to CPI compilation.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Shrinkflation—permanent reductions in package net quantity without proportional price reductions—can hide inflation and bias official consumer price indices (CPI). This study proposes an end-to-end empirical pipeline for Japan combining algorithmic shrinkage detection, image-OCR verification, IV identification of causal drivers, SKU-level hedonic estimation, and consumer experiments. We build a matched panel at GTIN and retailer_sku levels, apply change-point detection on net_quantity and pack_count, and require corroboration from metadata and images to label confirmed shrink events. Causal identification leverages exogenous input-cost shocks (commodity indices, JPY real-exchange moves, container freight) interacted with SKU exposure measures as instruments. Hedonic regressions with SKU and time fixed effects separate true quantity reductions from quality/formulation changes and feed into chained Fisher unit-value CPI adjustments. Complementary vignette and in-store randomized experiments measure consumer detection and behavioral responses. The main contributions are a validated shrinkage detection algorithm with precision/recall targets, causal estimates of shrinkage response to input shocks, and quantification of CPI bias from shrinkflation, producing policy-relevant measures for disclosure and CPI methodology.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scanner POS (retailer-level weekly transactions) 2018–2025; GS1/GTIN registry; retailer e-commerce scrapes with images; official CPI microdata structure; household panels (Family Income and Expenditure Survey, Intage) and loyalty-card transactions; commodity indices (wheat, sugar, dairy, oils); JPY REER and bilateral JPY/USD; container/shipping indices (SCFI/Harpex); manufacturer catalogs. Baselines: (A) official CPI using per-package prices; (B) unit-value indices without hedonic controls (price per 100g/ml); (C) hedonic regressions without image/OCR verification; (D) detection using metadata-only rules. Detection pipeline: construct matched panel at GTIN and retailer_sku; run change-point detection on net_quantity and pack_count. Primary rule: discrete net_quantity decline ≥5% persisting ≥8 consecutive weeks and no promo_flag. Sensitivity: thresholds 3%/4 weeks and category-specific 4–6%/6–12 weeks. Image pipeline: OCR extraction of printed net_quantity; image-embedding similarity (CNN features) for GTIN switches. Validation: stratified manual audit of 400 flagged events across staples, dairy, snacks, beverages; report precision, recall, FP/FN by stratum. IV strategy: two-stage regressions (2SLS) using commodity, exchange-rate, and freight shocks interacted with SKU exposure measures (import_share, packaging_cost_intensity, margin_proxy, perishability, private_label). Require first-stage F&gt;10; run LIML and report Anderson–Rubin CIs if weak. Hedonic estimation: SKU-level fixed-effect regressions (price per unit ~ packaging attributes + SKU FE + week FE + shrink_dummy) to isolate quantity vs quality (hedonic = controls for product attributes). Aggregation: compute chained Fisher and chain-Laspeyres unit-value indices; compare hedonic-adjusted CPI bias (pp) vs baselines. Consumer experiments: pre-registered vignette tasks and in-store randomized unit-price disclosure arms; power: pilot 800–1,200 respondents per arm to detect 5 percentage-point detection differences; stratify by income, age (oversample elderly), urban/rural, channel. Linkage: privacy-preserving hashed household_id, date, GTIN, quantity, price. Ablations: (1) remove OCR verification; (2) vary persistence/magnitude thresholds; (3) exclude instrument interactions; (4) hedonic vs unit-value-only aggregation. Evaluation metrics: detection precision/recall, manual-audit FP/FN rates, first-stage F and partial R2, 2SLS coefficient and AR CIs, CPI bias in percentage points, MSE of unit-value indices relative to hedonic benchmark, experimental detection-rate differences and WTP changes.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access: delays or missing retailer/GS1 feeds reduce event coverage. OCR/image errors: poor-quality photos or inconsistent net-quantity panel designs cause extraction failures and mislabels. GTIN changes and product rebranding: fuzzy matching may misclassify new products as shrinkage. Weak instruments: commodity or exchange-rate shocks may have weak first-stage relevance for some categories, limiting causal claims. Confounding formulation changes: changes in recipe or concentration may be mistaken for quantity shrinkage. Validation sampling bias: manual audit samples may not represent rare or online-only events. Privacy and legal constraints: linkage to household panels and loyalty data may be restricted under Japanese law. Compute and scaling: image-embedding and OCR at scale require substantial processing and storage. Generalizability: results calibrated to Japan's retail and cultural context may not transfer to other countries. Experimental external validity: vignette and in-store experiments may not fully capture long-term consumer adaptation.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