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aging_household_inequality_cee</w:t>
      </w:r>
    </w:p>
    <w:p>
      <w:r>
        <w:t xml:space="preserve"> </w:t>
      </w:r>
    </w:p>
    <w:p>
      <w:pPr>
        <w:pStyle w:val="Heading2"/>
      </w:pPr>
      <w:r>
        <w:t>Title</w:t>
      </w:r>
    </w:p>
    <w:p>
      <w:r>
        <w:t>Bayesian hierarchical age-period-cohort decomposition and policy evaluation of demographic aging effects on income inequality by household type in Central and Eastern Europe</w:t>
      </w:r>
    </w:p>
    <w:p>
      <w:r>
        <w:t xml:space="preserve"> </w:t>
      </w:r>
    </w:p>
    <w:p>
      <w:pPr>
        <w:pStyle w:val="Heading2"/>
      </w:pPr>
      <w:r>
        <w:t>Short Hypothesis</w:t>
      </w:r>
    </w:p>
    <w:p>
      <w:r>
        <w:t>An increase in the share of elderly-headed households causes higher household-level income inequality in Central and Eastern European countries, and this causal effect is larger in liberal post-socialist welfare states than in corporatist post-socialist welfare states.</w:t>
      </w:r>
    </w:p>
    <w:p>
      <w:r>
        <w:t xml:space="preserve"> </w:t>
      </w:r>
    </w:p>
    <w:p>
      <w:pPr>
        <w:pStyle w:val="Heading2"/>
      </w:pPr>
      <w:r>
        <w:t>Related Work</w:t>
      </w:r>
    </w:p>
    <w:p>
      <w:r>
        <w:t>Existing research uses three main approaches: (1) age–period–cohort (APC) models to separate life-cycle, period, and cohort effects (APC models attempt to split age, time, and birth-cohort influences but face identification problems because age = period - cohort); (2) inequality decompositions (Shorrocks or Shapley methods) that allocate observed aggregate inequality to population groups but often ignore cohort dynamics and household composition; (3) causal evaluations of pension reforms using difference-in-differences (DiD), regression discontinuity (RDD), and synthetic control (these yield causal estimates but are usually single-design and country-specific). Limitations are: APC identification sensitivity and small-cell instability; decompositions that omit interactions with household type and gender; measurement and harmonization issues in survey data (top-coding, informal income, pension components); limited triangulation across causal methods; weak integration of behavioral responses into microsimulations; and sparse subnational spatial inference. No prior work combines robust APC decomposition, dynamic Shapley by household type, triangulated causal designs, and spatial microsimulation within a harmonized CEE panel.</w:t>
      </w:r>
    </w:p>
    <w:p>
      <w:r>
        <w:t xml:space="preserve"> </w:t>
      </w:r>
    </w:p>
    <w:p>
      <w:pPr>
        <w:pStyle w:val="Heading2"/>
      </w:pPr>
      <w:r>
        <w:t>Abstract</w:t>
      </w:r>
    </w:p>
    <w:p>
      <w:r>
        <w:t>We study how demographic aging changes income inequality across age groups and household types in Central and Eastern Europe (CEE). Using harmonized microdata for pilot countries, we apply Bayesian hierarchical age–period–cohort (HAPC) models to separate life-cycle, period, and cohort effects (HAPC = a statistical model that pools data across groups to stabilize estimates). We pair these estimates with dynamic Shapley decompositions that allocate aggregate inequality (Gini, Atkinson, S80/S20) to age structure, cohort persistence, and household composition while allowing interactions with gender and migration. For causal inference on pension policy effects, we triangulate staggered DiD, RDD at statutory retirement ages, and synthetic control designs. We build a microsimulation skeleton that ingests behavioral kernels (retirement hazard, labor participation, spouse claiming) and propagates measurement and parameter uncertainty. Expected contributions: a reproducible harmonization protocol, stabilized APC estimates by household type, decomposition of inequality drivers, and triangulated causal estimates of pension reforms. Outcomes aim to inform targeted policy scenarios for mitigating aging-driven inequality in CEE.</w:t>
      </w:r>
    </w:p>
    <w:p>
      <w:r>
        <w:t xml:space="preserve"> </w:t>
      </w:r>
    </w:p>
    <w:p>
      <w:pPr>
        <w:pStyle w:val="Heading2"/>
      </w:pPr>
      <w:r>
        <w:t>Experiments</w:t>
      </w:r>
    </w:p>
    <w:p>
      <w:r>
        <w:t>Datasets: EU-SILC microdata 2005–2022 for Estonia, Poland, Czech Republic, Lithuania (individual and household files); SHARE longitudinal waves where available for cohort validation; national administrative pension/tax records and mortality where linkages exist; regional covariates at NUTS-3/LAU-2. Baselines: (A) cross-sectional Gini by age groups and household type; (B) intrinsic estimator APC (a nonparametric APC baseline); (C) Shorrocks decomposition without household-type interactions; (D) DiD without staggered-correction; (E) microsim without stochastic behavioral kernels. Preprocessing: harmonize to equivalized gross disposable income (OECD-modified scale default), predictive-mean-matching multiple imputation (survey weights), Pareto tail correction country-year. Main models and metrics: 1) Bayesian HAPC (cross-classified age×period×cohort) with country and household-type random effects; report Rhat, ESS, posterior predictive checks (PPC), WAIC/LOO; inequality metrics: Gini, Atkinson (epsilon=1), S80/S20; 2) Dynamic Shapley decomposition producing percentage contributions to each metric with bootstrap (survey-aware) and posterior intervals; 3) Causal suite: Callaway &amp; Sant’Anna and Sun &amp; Abraham staggered DiD (report ATT and event-study plots with pre-trend tests), RDD at statutory eligibility ages (local average treatment effect, bandwidth sensitivity, placebo ages), synthetic control for national reforms (RMSPE pre/post); 4) Microsimulation skeleton: feed behavioral kernels (retirement hazard, participation elasticity, spouse-claim probability) with multivariate covariance draws; report distributional outcomes by cohort and household type. Comparison/ablations: (i) HAPC vs intrinsic estimator and pseudo-panel trajectories from SHARE; (ii) Shapley with vs without age×household×gender interactions; (iii) DiD with vs without staggered corrections; (iv) microsim with fixed vs stochastic behavioral kernels. Evaluation: compare model fit (WAIC/LOO), calibration RMSE against administrative aggregates, coverage of bootstrap/posterior intervals for inequality metrics, and sensitivity panels over equivalence scales, top-coding rules, and imputation variants. Reproducibility: all analysis run in Docker with unit-tested scripts and seed-controlled Monte Carlo.</w:t>
      </w:r>
    </w:p>
    <w:p>
      <w:r>
        <w:t xml:space="preserve"> </w:t>
      </w:r>
    </w:p>
    <w:p>
      <w:pPr>
        <w:pStyle w:val="Heading2"/>
      </w:pPr>
      <w:r>
        <w:t>Risk Factors And Limitations</w:t>
      </w:r>
    </w:p>
    <w:p>
      <w:r>
        <w:t>APC identification risk: age, period, and cohort are mathematically collinear, producing model dependence and unstable estimates in small cells. Bayesian HAPC may not converge for sparse strata (non-convergence, high Rhat, low ESS). Data quality risks: EU-SILC measurement error in pensions, top-coding of high incomes, under-reporting of informal earnings and remittances, and incomplete administrative linkages. Harmonization limits: cross-country differences in survey design and definitions reduce comparability. Causal inference limits: DiD/RDD assumptions (parallel trends, no manipulation at cutoff) may fail, and synthetic control requires suitable donor pools. Sample size and precision: small numbers for some household-type × cohort × region cells yield wide uncertainty. Computational cost: Bayesian HAPC, BYM2 spatial models, and Monte Carlo microsim require substantial CPU and memory. Privacy constraints: subnational maps may require masking that reduces spatial detail. External validity: results from pilot countries may not generalize to all CEE states or non-CEE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