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organic_innovations_fieldday_survey</w:t>
      </w:r>
    </w:p>
    <w:p>
      <w:r>
        <w:t xml:space="preserve"> </w:t>
      </w:r>
    </w:p>
    <w:p>
      <w:pPr>
        <w:pStyle w:val="Heading2"/>
      </w:pPr>
      <w:r>
        <w:t>Title</w:t>
      </w:r>
    </w:p>
    <w:p>
      <w:r>
        <w:t>Survey-informed randomized block-strip field trials and Bayesian hierarchical analysis to evaluate stakeholder acceptance and agronomic, economic, and environmental performance of organic farming innovations in Germany</w:t>
      </w:r>
    </w:p>
    <w:p>
      <w:r>
        <w:t xml:space="preserve"> </w:t>
      </w:r>
    </w:p>
    <w:p>
      <w:pPr>
        <w:pStyle w:val="Heading2"/>
      </w:pPr>
      <w:r>
        <w:t>Short Hypothesis</w:t>
      </w:r>
    </w:p>
    <w:p>
      <w:r>
        <w:t>Implementation of the tested innovations (diverse winter cover crop mixes, legume undersowing, mechanical weed-control sequences) causes a net nitrogen contribution of at least 15 kg N/ha and a yield change no worse than −5% relative to control plots within two cropping seasons.</w:t>
      </w:r>
    </w:p>
    <w:p>
      <w:r>
        <w:t xml:space="preserve"> </w:t>
      </w:r>
    </w:p>
    <w:p>
      <w:pPr>
        <w:pStyle w:val="Heading2"/>
      </w:pPr>
      <w:r>
        <w:t>Related Work</w:t>
      </w:r>
    </w:p>
    <w:p>
      <w:r>
        <w:t>Prior work includes agronomic trials of cover crops, undersowing and mechanical weed control, socio-behavioral surveys of farmer adoption, multi-criteria decision analyses (MCDA) for technology ranking, and hierarchical statistical models to pool multi-site data. Existing agronomic studies often use single-region trials or short durations, limiting inference about heterogeneous soils and climates and reducing power to detect soil organic carbon (SOC) change. Socio-behavioral studies typically treat perceptions separately from on-farm performance, so links between acceptance and measured outcomes remain weak. MCDA approaches exist but frequently lack probabilistic uncertainty and direct stakeholder-weight calibration from surveyed populations. Data and reproducibility work streams often omit integrated geospatial governance, limiting combined trial-survey analyses. Bayesian hierarchical methods have been used but are underapplied to jointly estimate agronomic, economic and SOC trends across modest multi-site networks with nested within-farm replicates. Overall limitations: small cross-strata sample sizes, short SOC monitoring, weak integration of survey-derived weights into decision rules, and limited probabilistic pass/fail thresholds tied to market variability.</w:t>
      </w:r>
    </w:p>
    <w:p>
      <w:r>
        <w:t xml:space="preserve"> </w:t>
      </w:r>
    </w:p>
    <w:p>
      <w:pPr>
        <w:pStyle w:val="Heading2"/>
      </w:pPr>
      <w:r>
        <w:t>Abstract</w:t>
      </w:r>
    </w:p>
    <w:p>
      <w:r>
        <w:t>We evaluate which organic farming innovations are acceptable to stakeholders and deliver agronomic, economic, and environmental benefits by linking field-day survey data with randomized block-strip field trials across Germany. The approach combines attendee surveys from organic field days, a network of randomized strip trials (9–15 sites per innovation, ≥3 within-farm replicates, stratified by soil and climate), standardized measurements (yield, net nitrogen balance, weekly soil mineral N, SOC at 0–10 and 10–30 cm, labor, fuel, and farmer acceptability), Bayesian hierarchical modeling to borrow strength across sites, Monte Carlo region-specific decision rules for probabilistic pass/fail thresholds, and a multi-criteria decision analysis (MCDA) weighted by stakeholder preferences. The main contribution is an integrated pipeline that maps stakeholder acceptance to measured outcomes and yields region-specific, uncertainty-aware recommendations and policy templates (e.g., performance-based subsidy designs). Expected outcomes are ranked innovations per stratum, probabilistic thresholds for scale-up, and reproducible tools for extension and policy that combine technical metrics with farmer priorities.</w:t>
      </w:r>
    </w:p>
    <w:p>
      <w:r>
        <w:t xml:space="preserve"> </w:t>
      </w:r>
    </w:p>
    <w:p>
      <w:pPr>
        <w:pStyle w:val="Heading2"/>
      </w:pPr>
      <w:r>
        <w:t>Experiments</w:t>
      </w:r>
    </w:p>
    <w:p>
      <w:r>
        <w:t>Datasets: 1) Survey dataset from organic field days (attendee demographics, acceptability scores, ranked priorities). 2) Trial dataset: randomized block-strip trials for three innovations with 9–15 independent sites per innovation, ≥3 within-farm randomized strips per site, stratified by soil texture (sandy/loamy/clay), climate zone (north/central/south), and rotation type. 3) Lab data: weekly or biweekly soil mineral N (0–30 and 30–60 cm), SOC baseline and annual samples at 0–10 and 10–30 cm with bulk density, biomass and tissue N for one intensive season. 4) Farm registry and weather data. Baselines: business-as-usual organic practice plots on the same farms (control strips). Experimental setup: randomized block-strip allocation within each farm; standardized SOPs for sampling depths and frequencies; data stored in PostGIS schema. Evaluation metrics: primary: net N contribution (kg N/ha), relative yield change (%), gross margin (€/ha), SOC change (t C/ha yr), labor hours/ha, farmer acceptability score (Likert). Secondary: weed/pest scores, fuel L/ha. Statistical analyses: linear mixed models with farm and year random effects; Bayesian hierarchical models that pool site-level effects and estimate posterior probabilities of meeting thresholds; propensity score weighting when randomization is incomplete; Monte Carlo simulation varying fertilizer price, wage rate, and carbon price to convert pilot thresholds into probabilistic region-specific pass/fail rules. Ablation studies: A) Bayesian pooling vs no pooling (separate site-level models) to quantify benefit of hierarchical borrowing. B) Probabilistic Monte Carlo decision rules vs fixed deterministic thresholds (compare Type I/II error rates). C) MCDA with survey-derived stakeholder weights vs equal-weight MCDA. Power and sample constraints: run simulated power analyses using observed variance inputs; include scenario that aggregates SOC change across ≥30 independent plot-level observations over 5+ years to test detectability of 0.1–0.2% annual SOC change. Reporting: pre-register primary outcomes and models; report posterior intervals and bootstrap CIs.</w:t>
      </w:r>
    </w:p>
    <w:p>
      <w:r>
        <w:t xml:space="preserve"> </w:t>
      </w:r>
    </w:p>
    <w:p>
      <w:pPr>
        <w:pStyle w:val="Heading2"/>
      </w:pPr>
      <w:r>
        <w:t>Risk Factors And Limitations</w:t>
      </w:r>
    </w:p>
    <w:p>
      <w:r>
        <w:t>SOC signal detection requires multi-year monitoring; short trials (&lt;5 years) may not detect 0.1–0.2% annual SOC change. Site-level variance and small strata sizes reduce power and increase reliance on hierarchical pooling, which can bias estimates if priors are misspecified. Farmer selection and survey self-selection introduce sampling bias in acceptability weights. Imperfect within-farm randomization or treatment contamination (adjacent strip effects) can bias treatment effect estimates. Measurement errors: inconsistent soil sampling, bulk density errors, and lab variability affect SOC and N balance accuracy. Attrition risk: farm drop-out reduces replication. Monte Carlo economic results depend on uncertain market prices and carbon valuations. Data governance and geoprivacy rules may limit spatial resolution available for public dashboards. Results may not generalize beyond strata sampled or to non-organic 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