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ewaste_dismantling_carbon_inventory</w:t>
      </w:r>
    </w:p>
    <w:p>
      <w:r>
        <w:t xml:space="preserve"> </w:t>
      </w:r>
    </w:p>
    <w:p>
      <w:pPr>
        <w:pStyle w:val="Heading2"/>
      </w:pPr>
      <w:r>
        <w:t>Title</w:t>
      </w:r>
    </w:p>
    <w:p>
      <w:r>
        <w:t>Field-based carbon footprint accounting by matching daily facility electricity consumption to daily dismantling volumes for China’s e-waste dismantling process</w:t>
      </w:r>
    </w:p>
    <w:p>
      <w:r>
        <w:t xml:space="preserve"> </w:t>
      </w:r>
    </w:p>
    <w:p>
      <w:pPr>
        <w:pStyle w:val="Heading2"/>
      </w:pPr>
      <w:r>
        <w:t>Short Hypothesis</w:t>
      </w:r>
    </w:p>
    <w:p>
      <w:r>
        <w:t>Matching daily electricity consumption of dismantling facilities to daily dismantling volumes causes a statistically significant reduction (&gt; 20% relative) in the uncertainty of per-tonne cradle-to-gate GWP100 estimates compared with conventional annualized or proxy-based accounting methods.</w:t>
      </w:r>
    </w:p>
    <w:p>
      <w:r>
        <w:t xml:space="preserve"> </w:t>
      </w:r>
    </w:p>
    <w:p>
      <w:pPr>
        <w:pStyle w:val="Heading2"/>
      </w:pPr>
      <w:r>
        <w:t>Related Work</w:t>
      </w:r>
    </w:p>
    <w:p>
      <w:r>
        <w:t>Existing work on e-waste carbon accounting typically uses process-based life cycle assessment (LCA) with annual or monthly average inputs, national electricity mixes, literature emission factors, and coarse material flow assumptions. Material flow analysis (MFA) studies map mass flows but often lack facility-level temporal detail. Emissions studies of informal practices (open burning, acid leaching) provide concentration or event-level data but rarely translate these into per-tonne greenhouse gas (GHG) factors with quantified uncertainty. Prior approaches therefore share weaknesses: coarse temporal resolution (annual/monthly averages) that cannot capture daily variability; poor representation of informal dismantling practices and episodic emissions; limited provenance and QA/QC metadata for field measurements; and weak uncertainty propagation, often excluding correlated errors between throughput and energy use. Bayesian reconciliation and high-frequency energy linking have been used in other sectors but are rarely applied to e-waste dismantling, leaving a gap in robust, time-resolved, uncertainty-aware per-tonne carbon inventories.</w:t>
      </w:r>
    </w:p>
    <w:p>
      <w:r>
        <w:t xml:space="preserve"> </w:t>
      </w:r>
    </w:p>
    <w:p>
      <w:pPr>
        <w:pStyle w:val="Heading2"/>
      </w:pPr>
      <w:r>
        <w:t>Abstract</w:t>
      </w:r>
    </w:p>
    <w:p>
      <w:r>
        <w:t>We present a field-based accounting method that links daily electricity consumption of energy-using facilities to daily dismantling volumes to produce a time-resolved carbon inventory for e-waste dismantling in China. The problem is that current cradle-to-gate greenhouse gas (GHG) estimates use coarse averages and poorly represent informal operations and episodic emissions, causing high uncertainty. Our approach combines high-frequency facility energy metering, batch-level weighing of dismantled e-waste, direct emission sampling (stacks and fugitive events), and hierarchical Bayesian material flow reconciliation (a statistical method that updates flow estimates using observed data) to generate posterior distributions of flows and per-tonne global warming potential (GWP100). The main contribution is an empirically grounded, provenance-rich inventory that quantifies uncertainty and captures daily variability across formal and informal sites. Expected outcomes are reduced uncertainty in per-tonne GWP estimates, validated emission factors for key processes (including open burning), and openly documented LCI outputs that enable targeted mitigation and policy evaluation.</w:t>
      </w:r>
    </w:p>
    <w:p>
      <w:r>
        <w:t xml:space="preserve"> </w:t>
      </w:r>
    </w:p>
    <w:p>
      <w:pPr>
        <w:pStyle w:val="Heading2"/>
      </w:pPr>
      <w:r>
        <w:t>Experiments</w:t>
      </w:r>
    </w:p>
    <w:p>
      <w:r>
        <w:t>Datasets: (1) Field pilot: high-frequency electricity submeter logs (1-min to 1-hr resolution) and time-stamped batch weighing data from 12 representative facilities (pilot: Guangdong formal, Zhejiang informal cluster, Henan mixed) collected over 4-6 weeks; (2) Emissions: paired stack and fugitive concentration measurements (CO2, CO, CH4, VOCs, PM2.5/PM10) with sorbent/particulate lab analyses (ICP-MS, GC-MS); (3) Transport: GPS traces and trip logs for vehicle legs; (4) Background: regional grid mixes and literature emission factors. Baselines: A. annualized LCA using national-average electricity and literature EFs; B. process-based LCA using monthly-average electricity and facility-scale proxies. Proposed method: daily-matched electricity-to-throughput with hierarchical Bayesian MFA reconciliation. Evaluation metrics: per-tonne GWP100 mean, standard deviation, 95% credible interval width, percent uncertainty reduction vs baselines, bias and RMSE from cross-validation, convergence diagnostics (R-hat &lt;1.1, effective sample size), Monte Carlo stability (variance vs iterations). Experimental setup: implement hierarchical Bayesian MFA in Stan to produce posterior flow samples; propagate posterior samples through LCA engine (Brightway2 or custom) with Monte Carlo runs at 5,000 (pilot) and 10,000 (final) iterations; perform leave-one-facility-out cross-validation to assess generalization; ablation studies: (i) remove daily electricity matching (use monthly averages), (ii) remove Bayesian reconciliation (use direct mass balance), (iii) vary Monte Carlo draws (2,000; 5,000; 10,000) to test stability. Comparisons: report statistical significance of uncertainty reduction and differences in hotspot identification (transport, burning) between methods.</w:t>
      </w:r>
    </w:p>
    <w:p>
      <w:r>
        <w:t xml:space="preserve"> </w:t>
      </w:r>
    </w:p>
    <w:p>
      <w:pPr>
        <w:pStyle w:val="Heading2"/>
      </w:pPr>
      <w:r>
        <w:t>Risk Factors And Limitations</w:t>
      </w:r>
    </w:p>
    <w:p>
      <w:r>
        <w:t>Site access and data completeness: MOUs may limit access or force anonymization that reduces contextual metadata. Instrument and sampling failure: submeter, flow meter, or analyzer breakdowns can create gaps; sample contamination may bias lab results. Representativeness: 12 facilities may not capture national heterogeneity; informal practices vary spatially and seasonally. Measurement-to-factor conversion: deriving mass emission rates from concentration requires accurate stack/dilution flow or tracer methods; errors here dominate uncertainty. Bayesian prior sensitivity: priors that are misspecified can bias posterior flows when data are sparse; hierarchical pooling may under- or over-smooth true site differences. Computational cost: hierarchical Bayesian MFA and 10k+ Monte Carlo runs are computationally intensive and require careful convergence checks. Generalization limits: method calibrated for China’s grid mixes, vehicle fleets, and dismantling practices may not transfer directly to other countries. Policy translation: identified mitigation options may face legal, economic, or social barriers not resolved by technical findings.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