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governance_enabled_purpose_renewal</w:t>
      </w:r>
    </w:p>
    <w:p>
      <w:r>
        <w:t xml:space="preserve"> </w:t>
      </w:r>
    </w:p>
    <w:p>
      <w:pPr>
        <w:pStyle w:val="Heading2"/>
      </w:pPr>
      <w:r>
        <w:t>Title</w:t>
      </w:r>
    </w:p>
    <w:p>
      <w:r>
        <w:t>A mixed-methods longitudinal quasi-experimental study of how governance-enabled corporate purpose affects firms' sensing, seizing, and reconfiguring for strategic renewal</w:t>
      </w:r>
    </w:p>
    <w:p>
      <w:r>
        <w:t xml:space="preserve"> </w:t>
      </w:r>
    </w:p>
    <w:p>
      <w:pPr>
        <w:pStyle w:val="Heading2"/>
      </w:pPr>
      <w:r>
        <w:t>Short Hypothesis</w:t>
      </w:r>
    </w:p>
    <w:p>
      <w:r>
        <w:t>Implementing governance reforms that institutionalize authentic corporate purpose (e.g., purpose committee launch, long-horizon pay, mandatory disclosure) causes a measurable increase in firms' reconfiguring activity within three years, mediated by increased sensing and seizing behaviors.</w:t>
      </w:r>
    </w:p>
    <w:p>
      <w:r>
        <w:t xml:space="preserve"> </w:t>
      </w:r>
    </w:p>
    <w:p>
      <w:pPr>
        <w:pStyle w:val="Heading2"/>
      </w:pPr>
      <w:r>
        <w:t>Related Work</w:t>
      </w:r>
    </w:p>
    <w:p>
      <w:r>
        <w:t>Existing research spans three fragmented streams: (1) corporate purpose and mission studies that use text analysis or ratings to describe purpose content but often lack validated, multi-source measures of authenticity and embeddedness; (2) strategic renewal and dynamic capabilities literatures that theorize sensing, seizing, and reconfiguring but typically measure these capabilities with coarse proxies (R&amp;D, alliances, entry events) and limited process data; (3) governance and ethics research that examines board and incentive effects but rarely connects these reforms directly to microfoundational routines or to purpose measures. Common limitations are: weak causal identification (mostly cross-sectional or correlational designs), inconsistent measurement of purpose (single-source text scores without resource-trace validation), limited multi-method integration (few studies combine process tracing with panel quasi-experiments), sparse attention to boundary conditions (industry dynamism, ownership, country regulation), and inadequate detection of symbolic purpose or greenwashing. These gaps make it hard to know when stated purpose actually drives renewal or is merely rhetoric.</w:t>
      </w:r>
    </w:p>
    <w:p>
      <w:r>
        <w:t xml:space="preserve"> </w:t>
      </w:r>
    </w:p>
    <w:p>
      <w:pPr>
        <w:pStyle w:val="Heading2"/>
      </w:pPr>
      <w:r>
        <w:t>Abstract</w:t>
      </w:r>
    </w:p>
    <w:p>
      <w:r>
        <w:t>Firms increasingly claim social and strategic purposes, but it remains unclear when and how purpose drives strategic renewal. This study tests whether governance reforms that institutionalize authentic corporate purpose (for example, establishing a purpose committee, adopting long-horizon pay tied to purpose metrics, or mandatory disclosure) causally shape firms’ dynamic capabilities of sensing, seizing, and reconfiguring. We combine a longitudinal panel across publicly listed firms with targeted quasi-experiments around discrete governance reforms and 6–10 process-rich case studies. Measurement integrates multi-source text scores, resource traces (budgets, KPIs, incentive language), and third-party assessments to validate four purpose dimensions: content, clarity, authenticity, and embeddedness. Empirical methods include difference-in-differences, synthetic controls, dynamic panel GMM, confirmatory factor analysis, and mediated-moderation tests. The main contribution is a validated, reproducible measurement approach plus causal evidence linking governance-enabled authentic purpose to renewal mechanisms and outcomes. Expected outcomes include a multidimensional purpose measure, estimates of causal effects on capability enactment, and process vignettes clarifying microfoundations.</w:t>
      </w:r>
    </w:p>
    <w:p>
      <w:r>
        <w:t xml:space="preserve"> </w:t>
      </w:r>
    </w:p>
    <w:p>
      <w:pPr>
        <w:pStyle w:val="Heading2"/>
      </w:pPr>
      <w:r>
        <w:t>Experiments</w:t>
      </w:r>
    </w:p>
    <w:p>
      <w:r>
        <w:t>Datasets: BoardEx/Equilar (board and governance); Compustat/Orbis (financials); MSCI and Refinitiv ESG (third-party ratings); company annual reports, 10-Ks, strategy decks, incentive plans, budgets/KPIs, press releases, patent and alliance databases, and news feeds (e.g., Factiva). Qualitative: 6–10 matched case firms with 12–20 semi-structured interviews per case and archival timelines. Sample targets: panel of ~100–200 firms over 8–15 years where feasible; at least 20 treated firms for each chosen governance reform if available. Baselines: (A) firms without governance reform during sample period; (B) firms with increases in stated purpose but no resource linkage (symbolic purpose); (C) propensity-score matched controls. Evaluation metrics: Sensing index (stakeholder-network breadth, alliance formation rate, news-signal diversity); Seizing index (speed of resource reallocations, number of strategic initiatives launched); Reconfiguring index (rate of routine changes, number of pilots scaled, modularity of business model changes); Renewal outcomes (new-business revenue share, return on new investments, abnormal returns around renewal events). Metrics are annualized and normalized (z-scores). Technical models: Confirmatory Factor Analysis (CFA) for purpose dimensions (explain: CFA is a statistical test that checks if observed measures fit a theorized structure), test configural/metric/scalar invariance across industries/countries. Causal identification: Difference-in-Differences (DiD) with firm and year fixed effects for discrete reforms, event-study plots and placebo DiDs (shifted treatment dates), synthetic control methods for high-quality single-firm reforms (explain: synthetic control builds a weighted combination of control firms to match pre-treatment trends), and system GMM dynamic panels (explain: GMM uses lagged instruments to handle endogeneity). Mediation tests: panel mediation (sensing→seizing→reconfiguring) with lagged mediators and bootstrap confidence intervals. Ablations and robustness: remove authenticity resource-trace indicators from CFA to test sensitivity; run alternative NLP encoders (BERT, TF-IDF, LDA topic models) and report result variance; placebo reforms on randomly assigned dates; varied lag structures (sensing→seizing: 1 year vs 2 years; seizing→reconfiguring: 1–2 years; full path: 2–4 years). Validation: compare algorithmic greenwashing flags to external sanction events and NGO reports (precision/recall). Pre-registration: preregister CFA specs, DiD windows, donor pool rules for synthetic control, and robustness checks.</w:t>
      </w:r>
    </w:p>
    <w:p>
      <w:r>
        <w:t xml:space="preserve"> </w:t>
      </w:r>
    </w:p>
    <w:p>
      <w:pPr>
        <w:pStyle w:val="Heading2"/>
      </w:pPr>
      <w:r>
        <w:t>Risk Factors And Limitations</w:t>
      </w:r>
    </w:p>
    <w:p>
      <w:r>
        <w:t>Endogeneity and selection bias: firms that adopt governance reforms may differ systematically, limiting causal claims when treated cohorts are small. Spillovers: reforms in one firm or industry may affect peers, violating stable-unit-treatment assumptions. Measurement error: NLP text scores can misclassify nuance; resource traces (budgets, KPIs) are often proprietary or inconsistently disclosed. Limited reform instances: discrete governance changes (e.g., purpose committee launch) may be rare, reducing power for DiD or synthetic controls. Cross-country heterogeneity: legal and disclosure regimes vary, challenging measurement invariance and generalization. Small-N case limits: process vignettes may not generalize beyond studied firms. Temporal lag uncertainty: true lag between sensing→seizing→reconfiguring may vary; fixed lag choices risk mis-specification. Computation and data scale: large-scale NLP and network analysis require compute resources and cleaning effort. Ethical and access constraints: IRB approvals and confidentiality may restrict access to internal artifacts, biasing toward public disclosures. Detection limits: algorithmic greenwashing flags may yield false positives/negatives versus nuanced ethical failures.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