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qianyang_lulc_esv_plus</w:t>
      </w:r>
    </w:p>
    <w:p>
      <w:r>
        <w:t xml:space="preserve"> </w:t>
      </w:r>
    </w:p>
    <w:p>
      <w:pPr>
        <w:pStyle w:val="Heading2"/>
      </w:pPr>
      <w:r>
        <w:t>Title</w:t>
      </w:r>
    </w:p>
    <w:p>
      <w:r>
        <w:t>Quantifying impacts of land use and land cover changes on ecosystem service value in Qianyang County using spatial statistics and PLUS model scenario simulation</w:t>
      </w:r>
    </w:p>
    <w:p>
      <w:r>
        <w:t xml:space="preserve"> </w:t>
      </w:r>
    </w:p>
    <w:p>
      <w:pPr>
        <w:pStyle w:val="Heading2"/>
      </w:pPr>
      <w:r>
        <w:t>Short Hypothesis</w:t>
      </w:r>
    </w:p>
    <w:p>
      <w:r>
        <w:t>Scenario-driven land use and land cover (LULC) transitions simulated by the PLUS model will produce statistically significant changes in county-level ecosystem service value (ESV) distributions by 2050 compared to 2022, after propagation of per-pixel classification uncertainty.</w:t>
      </w:r>
    </w:p>
    <w:p>
      <w:r>
        <w:t xml:space="preserve"> </w:t>
      </w:r>
    </w:p>
    <w:p>
      <w:pPr>
        <w:pStyle w:val="Heading2"/>
      </w:pPr>
      <w:r>
        <w:t>Related Work</w:t>
      </w:r>
    </w:p>
    <w:p>
      <w:r>
        <w:t>Existing work combines remote sensing LULC mapping, biophysical ES modules (for example InVEST) and land change models (for example CA‑Markov, CLUE‑S, DINAMICA, and PLUS). Remote sensing classification approaches (Random Forest, XGBoost, and deep learning) produce accurate maps but often report only single-label outputs and limited spatial uncertainty. ES valuation studies commonly apply InVEST or RUSLE for carbon, water yield and soil retention but frequently use fixed LULC maps and literature-derived parameters without propagating map uncertainty. Land-use simulation studies use models like PLUS to generate scenarios, but calibration often lacks integration of local socioeconomic priors and per-pixel probability inputs. Limitations include: (1) weak propagation of classification uncertainty into ES estimates, (2) limited local parameterization of carbon and erosion factors, (3) sparse integration of household/tenure data into scenario priors, and (4) few comparisons of allocation models (PLUS vs alternatives) under probabilistic inputs. These gaps reduce confidence in parcel-level economic rankings and in equity-sensitive policy guidance.</w:t>
      </w:r>
    </w:p>
    <w:p>
      <w:r>
        <w:t xml:space="preserve"> </w:t>
      </w:r>
    </w:p>
    <w:p>
      <w:pPr>
        <w:pStyle w:val="Heading2"/>
      </w:pPr>
      <w:r>
        <w:t>Abstract</w:t>
      </w:r>
    </w:p>
    <w:p>
      <w:r>
        <w:t>We study how land use and land cover (LULC) changes affect ecosystem service value (ESV) in Qianyang County by combining probabilistic remote sensing maps, spatial statistics, and PLUS model scenario simulation. We produce reproducible LULC epochs and annual maps with per-pixel class probabilities from ensemble classifiers, map biophysical services (carbon, water yield, soil retention, crop provisioning), and propagate map uncertainty through Monte Carlo runs into ES outputs. The PLUS model (a spatial land‑use allocation model) generates 2050 scenarios—business-as-usual, restoration, intensification, and rural modernization—calibrated with local socioeconomic priors. The main contribution is an end-to-end, uncertainty-aware workflow that links per-pixel classification probabilities to scenario simulations and parcel-level economic metrics (NPV, BCR) with Monte Carlo confidence intervals. Expected outcomes are spatially explicit ES change maps with interpretable confidence bands, ranked parcel portfolios robust to uncertainty, and equity-adjusted ROI maps that reveal distributional effects by tenure and household vulnerability. Results will inform transparent, testable policy choices for sustainable land management in the county.</w:t>
      </w:r>
    </w:p>
    <w:p>
      <w:r>
        <w:t xml:space="preserve"> </w:t>
      </w:r>
    </w:p>
    <w:p>
      <w:pPr>
        <w:pStyle w:val="Heading2"/>
      </w:pPr>
      <w:r>
        <w:t>Experiments</w:t>
      </w:r>
    </w:p>
    <w:p>
      <w:r>
        <w:t>Datasets: (1) Multi-temporal optical and SAR stacks: Landsat TM/ETM+/OLI (1990, 2000, 2010, 2015, 2020, 2022), Sentinel-2 (2015–present), Sentinel-1 VV/VH (2015–present); (2) 200–300 ground plots with nested 30×30 m/10×10 m/1×1 m samples; 20–30 UAV orthomosaics; (3) household survey dataset (n≈400) with tenure, yields and WTP; (4) local carbon density, soil and yield statistics. Baselines: (A) deterministic pipeline using single-label LULC + InVEST (no uncertainty), (B) PLUS without per-pixel probability weighting, (C) alternative allocation models (CA‑Markov, CLUE‑S). Metrics: per-class producer/user accuracies, overall accuracy, area-weighted accuracy and bootstrap 95% CIs; spatial autocorrelation (Moran's I) of ESV; RMSE and bias of biophysical maps (carbon, water yield, soil retention) using plot measurements; parcel-level NPV and BCR with Monte Carlo 90% and 95% CIs for discount rates 3%, 5%, 8%; consistency metric: % of parcels in top 10% across 90% CI. Setup: 1) Train ensemble classifiers (RF and XGBoost) on fused features (spectral indices, SAR metrics, phenology), produce per-pixel class probability maps. 2) Validate with spatially-blocked k-fold CV and independent test plots; compute area-adjusted accuracies. 3) Propagate per-pixel probabilities into InVEST and RUSLE via Monte Carlo (N=1000 draws per pixel) to produce ESV distributions. 4) Calibrate PLUS with socioeconomic priors from surveys; run four 2050 scenarios producing LULC maps for each Monte Carlo draw. 5) Compute parcel-level NPV/BCR/ES per ha for each draw and scenario. Statistical tests: permutation tests and paired Wilcoxon tests to compare scenario ESV distributions and baseline vs alternative methods. Ablations: (i) with vs without probability propagation; (ii) PLUS vs CA‑Markov/CLUE‑S; (iii) carbon density priors at ±20% and ±40%; report variance contributions.</w:t>
      </w:r>
    </w:p>
    <w:p>
      <w:r>
        <w:t xml:space="preserve"> </w:t>
      </w:r>
    </w:p>
    <w:p>
      <w:pPr>
        <w:pStyle w:val="Heading2"/>
      </w:pPr>
      <w:r>
        <w:t>Risk Factors And Limitations</w:t>
      </w:r>
    </w:p>
    <w:p>
      <w:r>
        <w:t>Remote sensing misclassification and spatial bias: mixed pixels and smallholder mosaics may yield incorrect class probabilities that bias ES estimates. Limited field sample size: 200–300 plots and 20–30 UAV tiles may be insufficient for rare classes, producing wide CIs. Parameter uncertainty: carbon densities, RUSLE K/LS and crop yield elasticities are uncertain and can dominate variance in ESV and NPV. Socioeconomic priors: household survey sampling error or reporting bias can mislead scenario calibration. Model structural risk: PLUS allocation rules and alternative models produce different spatial patterns, reducing robustness of parcel rankings. Computational cost: Monte Carlo propagation at 30 m over the county and multiple scenarios requires substantial compute and storage. Generalization: locally calibrated parameters and priors limit transferability to other regions. Equity measurement limits: household-level linkage to specific parcels may be incomplete, limiting accuracy of equity-adjusted ROI maps.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