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dvt_prophylaxis_motivation_scale</w:t>
      </w:r>
    </w:p>
    <w:p>
      <w:r>
        <w:t xml:space="preserve"> </w:t>
      </w:r>
    </w:p>
    <w:p>
      <w:pPr>
        <w:pStyle w:val="Heading2"/>
      </w:pPr>
      <w:r>
        <w:t>Title</w:t>
      </w:r>
    </w:p>
    <w:p>
      <w:r>
        <w:t>Development and psychometric validation of a Protection Motivation Theory-based motivation scale for postdischarge deep vein thrombosis prophylaxis adherence in hip and knee arthroplasty patients</w:t>
      </w:r>
    </w:p>
    <w:p>
      <w:r>
        <w:t xml:space="preserve"> </w:t>
      </w:r>
    </w:p>
    <w:p>
      <w:pPr>
        <w:pStyle w:val="Heading2"/>
      </w:pPr>
      <w:r>
        <w:t>Short Hypothesis</w:t>
      </w:r>
    </w:p>
    <w:p>
      <w:r>
        <w:t>Higher scores on a Protection Motivation Theory-based motivation scale measured at hospital discharge cause higher objective anticoagulant adherence (medication possession ratio) at 30 days postdischarge compared with lower scores.</w:t>
      </w:r>
    </w:p>
    <w:p>
      <w:r>
        <w:t xml:space="preserve"> </w:t>
      </w:r>
    </w:p>
    <w:p>
      <w:pPr>
        <w:pStyle w:val="Heading2"/>
      </w:pPr>
      <w:r>
        <w:t>Related Work</w:t>
      </w:r>
    </w:p>
    <w:p>
      <w:r>
        <w:t>Existing approaches include generic medication-adherence questionnaires, single-item intent measures, and some theory-based self-efficacy scales. Protection Motivation Theory (PMT) has been used to explain health behaviors, but prior PMT instruments are general and not tailored to post-arthroplasty anticoagulant prophylaxis. Many prior scales rely on self-report without linkage to objective pharmacy or electronic monitoring data. Psychometric work in similar settings often lacks rigorous IRT (item response theory) analyses, bifactor modeling, comprehensive measurement invariance testing, and short-form development. Limitations across prior work: weak domain coverage for threat and coping appraisal specific to DVT, small samples that prevent cross-group invariance checks, reliance on single administration without test–retest reliability, and limited integration with electronic health record (EHR) medication fill data for predictive validity.</w:t>
      </w:r>
    </w:p>
    <w:p>
      <w:r>
        <w:t xml:space="preserve"> </w:t>
      </w:r>
    </w:p>
    <w:p>
      <w:pPr>
        <w:pStyle w:val="Heading2"/>
      </w:pPr>
      <w:r>
        <w:t>Abstract</w:t>
      </w:r>
    </w:p>
    <w:p>
      <w:r>
        <w:t>Postdischarge adherence to anticoagulant prophylaxis after hip or knee arthroplasty is essential to prevent deep vein thrombosis (DVT) but is undermined by variable patient motivation. We propose to develop and validate a Protection Motivation Theory (PMT)-based instrument that measures cognitive drivers of motivation for postdischarge DVT prophylaxis. Using mixed methods, we will generate items from literature review, patient interviews, and expert Delphi rounds, then evaluate the instrument’s structure, reliability, and validity in a multisite cross-sectional cohort. Main contributions are a theory-grounded scale with a validated short form, formal psychometric evidence (factor structure, IRT item properties, test–retest reliability), and demonstration of predictive validity against objective adherence measures (pharmacy refill data and electronic monitoring subset). Expected outcomes include a reproducible, interpretable motivation score usable in clinical workflows to triage adherence support and a publicly available instrument with documented psychometrics that links motivation to real-world adherence.</w:t>
      </w:r>
    </w:p>
    <w:p>
      <w:r>
        <w:t xml:space="preserve"> </w:t>
      </w:r>
    </w:p>
    <w:p>
      <w:pPr>
        <w:pStyle w:val="Heading2"/>
      </w:pPr>
      <w:r>
        <w:t>Experiments</w:t>
      </w:r>
    </w:p>
    <w:p>
      <w:r>
        <w:t>Dataset: Prospective multisite cohort of adults (N=250–300) undergoing elective primary total hip or knee arthroplasty, discharged home on planned pharmacologic DVT prophylaxis. Collect baseline (pre-discharge) candidate scale (40–50 items), administration mode flag, 7–14 day retest subset (n≈50), 30- and 90-day follow-up, pharmacy refill data (medication possession ratio, MPR) for all participants, and MEMS electronic monitoring in a prespecified subset (~10%, n≈25–30). Baselines: existing validated medication self-efficacy scale and a brief adherence self-report instrument. Experimental steps: randomly split sample ~2/3 for exploratory factor analysis (EFA) and ~1/3 holdout for confirmatory factor analysis (CFA). EFA: principal axis factoring, oblique rotation; retain items with loadings ≥0.40 and cross-loadings &lt;0.30. CFA: test correlated factors, higher-order, and bifactor models; report CFI, RMSEA, SRMR. IRT: graded response model to estimate item discrimination and difficulty; remove items with discrimination &lt;0.60. Reliability: Cronbach’s alpha and McDonald’s omega for domains (target ≥0.70), ICC for test–retest (target ≥0.70). Validity: convergent correlations with self-efficacy, divergent with unrelated constructs, predictive validity via linear and logistic regression of baseline score predicting continuous MPR and binary MPR≥80% at 30 days; report effect sizes (beta, OR) and AUC for classification. Invariance: configural/metric/scalar tests across THA vs TKA, sex, age strata, and language. Ablations: compare full scale vs short form predictive performance; compare bifactor vs higher-order scoring for prediction; assess impact of excluding items with ceiling/floor effects. Missing data: report patterns and use full-information maximum likelihood in factor models. Evaluation metrics: factor loadings, CFI≥0.90, RMSEA&lt;0.08, SRMR&lt;0.08, IRT discrimination, Cronbach’s alpha/omega, ICC, correlation coefficients, regression coefficients with 95% CI, AUC.</w:t>
      </w:r>
    </w:p>
    <w:p>
      <w:r>
        <w:t xml:space="preserve"> </w:t>
      </w:r>
    </w:p>
    <w:p>
      <w:pPr>
        <w:pStyle w:val="Heading2"/>
      </w:pPr>
      <w:r>
        <w:t>Risk Factors And Limitations</w:t>
      </w:r>
    </w:p>
    <w:p>
      <w:r>
        <w:t>Recruitment risk: failure to reach target N or subgroup sizes limits invariance testing. Low event rates: symptomatic VTE and major bleeding are rare, limiting power to link motivation to clinical events. Measurement bias: mode-of-administration (paper/electronic/phone) may introduce systematic differences. Self-report bias: baseline items may be inflated by social desirability. MEMS subset constraints: small MEMS sample and device cost reduce precision of criterion validation. Psychometric assumptions: IRT graded response model may be violated if response categories are not ordered or sample size insufficient. Missing data: differential attrition at follow-up may bias predictive validity analyses. Generalizability: scale validated in elective primary THA/TKA discharged home may not generalize to other surgeries, populations discharged to facilities, or non-English language groups without further validation. Computational limits: complex IRT and invariance models require statistical expertise and may be sensitive to small sample sizes in subgroups.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