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optimal_bank_capital_tradeoff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trade-off corporate finance model combining Merton structural probability-of-default and cost-of-leverage to compute welfare-optimal bank capital and capital requirements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Raising a bank's regulatory equity ratio k causally reduces its endogenous risk-taking a(k) and, when network externalities (λ) or depositor fragility are large, increases the welfare-maximizing capital ratio k*.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applies the trade-off theory to banks by weighing tax benefits of debt against distress costs. Structural approaches (Merton-style) map capital and asset dynamics to default probabilities, while separate cost-of-leverage models quantify how debt raises funding costs and distress losses. Limitations remain: many studies assume exogenous or fixed risk-taking and do not integrate a structural PD mapping with a cost-of-leverage framework; liquidity-run risks and depositor coordination (Diamond–Dybvig) are often treated in reduced-form ways; tail events and fat tails are under-explored in calibration; and empirical identification of the capital→risk channel faces endogeneity and weak-instrument problems. There is a gap in jointly estimating endogenous a*(k), the marginal benefits and marginal social costs MB_k and MC_k, and optimal k* across shock families and network topologies.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paper develops a compact, testable trade-off corporate finance model for banks that integrates a cost-of-leverage framework with a structural Merton-style probability-of-default (PD) mapping to compute welfare-optimal equity capital ratios. Shareholders choose risk a, which depends on equity-to-assets k through an incentive constraint a*(k); the social planner balances private benefits of lower equity against insolvency, run, and network externality costs (λ). We derive a semi-closed form a*(k) under Normal shocks and a numerical solver for Student-t and jump-diffusion shocks. The main contribution is an explicit MB_k = MC_k condition that includes the a′(k) amplification channel and a modular Monte Carlo stress-testing engine that delivers optimal k* and tail-risk metrics (ES99, SRISK, CoVaR) across PD mappings and network modules (Eisenberg–Noe primary; DebtRank and scale-free robustness). Expected outcomes: quantification of how tail risk, liquidity rules, and implicit guarantees shift optimal capital, and empirical identification strategies for the capital→risk channel using supervisory and market data.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 Call Reports and FR Y-9C (balance-sheet panel), bank CDS spreads (market-implied risk), FDIC resolution cost series (tail-loss anchor), and high-frequency deposit flows (run detection) where available. Baselines: (B1) fixed-risk (a fixed independent of k), (B2) reduced-form PD logistic mapping, (B3) structural PD without network contagion. Proposed model: structural PD with endogenous a*(k) and cost-of-leverage adjusted for liquidity premium; network modules: Eisenberg–Noe (primary), DebtRank and scale-free network (robustness). Shock families: Normal (benchmark), Student-t df={3,5}, jump-diffusion (Poisson intensity 0.02–0.2 yr−1, jump mean loss 10–40%). Calibration: method-of-simulated-moments (MSM) matching moments: ROA volatility, default frequency, short-term funding share, CDS tail premia, FDIC crisis resolution costs; weight tail moments (99% ES, FDIC costs, CDS tail premia) higher. Identification of a(k): system-GMM + control-function using staggered instruments (Basel phasing, CCAR/SCAP rounds, G-SIB surcharges, LCR/NSFR rollouts) with Hansen, AR, and Kleibergen–Paap diagnostics. Monte Carlo: for each parameter vector run 100,000 draws per shock family; grid capital k in [0.04,0.20] (4%–20%) with 50 grid points. Evaluation metrics: welfare W(k), MB_k and MC_k decomposition (explicit a′(k) term), optimal k*, ES(99%), SRISK, CoVaR, default frequency, run incidence, MSM objective value. Ablations/Comparisons: (A) structural PD vs reduced-form PD, (B) endogenous a*(k) vs fixed a, (C) network vs no-network, (D) Diamond–Dybvig endogenous run module vs reduced-form p_run. Report differences in k*, tail metrics, and welfare across these ablations.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risk: PD mapping may be misspecified; Normal closed form may poorly approximate fat tails. Identification risk: staggered regulatory instruments can be weak or violate exclusion (finite-sample bias in system-GMM). Data risk: Call Reports and CDS have measurement error and limited cross-country comparability; high-frequency deposit flows may be unavailable or noisy. Computational limits: large Monte Carlo grids with network contagion and jump processes are compute-intensive. Generalization limits: calibrated k* may not transfer across countries with different tax, insolvency, or market structures. Behavioral limits: depositor coordination (DD runs) is hard to observe and may be misclassified with reduced-form tests. Statistical limits: MSM weighting choices and instrument strength affect parameter estimates and confidence intervals; finite-sample inference may be unreliable without alternative estimators.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