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sustained_satisfaction_revenue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sustained individual-level bank revenue effects of customer satisfaction using panel instrumental variables and state-space latent indexing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one-standard-deviation increase in a validated latent customer satisfaction index at time t causes a positive and statistically significant increase in individual-level bank revenue that persists for at least one and up to four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links customer satisfaction to firm performance using cross-sectional or aggregate time-series methods, and some studies estimate churn and CLV using behavioral models. Common approaches include fixed-effects panel regressions, difference-in-differences event studies, instrumental-variable (IV) designs, and local projections for dynamics. Limitations in prior work are: (1) reliance on single noisy satisfaction proxies (CSAT or NPS) that create measurement error; (2) aggregation at firm or market level which masks individual revenue dynamics; (3) short horizons that do not test multi-year persistence; (4) limited use of latent-index/state-space methods to fuse multiple satisfaction signals and handle missingness; (5) weak or plausibly endogenous instruments and incomplete instrument diagnostics; and (6) few studies that decompose channels (churn, deposits, fees, cross-sell) with formal mediation analysis. These gaps hinder causal attribution of sustained revenue effects at the customer level.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higher customer satisfaction produces sustained individual-level revenue growth for retail bank customers and quantifies how long effects last and through which channels. We build a latent satisfaction index by combining multiple feedback signals and link it to de-identified transactional records for 19,060 Swedish retail customers. Identification combines panel fixed effects, dynamic panels, Bartik-style instruments (national satisfaction trends × bank exposure), staggered event studies, and local projections; a state-space model estimates measurement error and produces counterfactual forecasts. Main contributions are: (1) a validated latent satisfaction measure that reduces noise and handles missing indicators; (2) causal estimates of short- and long-run semi-elasticities of revenue to satisfaction at the individual level; and (3) a channel decomposition that allocates long-run revenue gains across churn reduction, deposits, fees, and cross-sell. Expected outcomes include robust long-run multipliers, horizon-specific impulse responses, and quantified channel shares to inform ROI for bank investments in customer experience.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linked survey and objective bank records for 19,060 Swedish retail customers with time-stamped revenue components (net interest income, fees, deposits) and customer-level covariates; (b) bank × time panel (monthly preferred, quarterly minimum) with aggregated decompositions and market controls (HHI, macro). Baselines: (1) static bank fixed-effects: ln(Revenue_it)=α_i+τ_t+β·S_it+X_itγ; (2) dynamic panel AR(1): ln(Revenue_it)=ϕ ln(Revenue_{i,t-1})+β·S_it+α_i+τ_t+X_itγ; (3) local projections (Jordà) for horizons h=0..20 quarters; (4) state-space dynamic factor for latent satisfaction and forecasting; (5) IV versions of (1)-(2) using Bartik-style instrument. Evaluation metrics: estimated semi-elasticity β and its SE, long-run multiplier β/(1−ϕ) with bootstrap CIs, horizon IRFs with CIs, first-stage F-stat and partial R2, Kleibergen–Paap rk statistic, Hansen J p-value, Anderson–Rubin/CLR robust CIs if weak-IV, out-of-sample RMSE for revenue forecasts, AUC for churn prediction, and percent mediation explained by channels. Experimental setup: (A) Construct latent index via dynamic factor (Kalman filter) and cross-check with CFA; (B) Estimate baselines on full sample with bank and time FE, cluster SEs by bank; (C) Run IV estimations using Bartik instrument and report diagnostics (first-stage F&gt;10 target, partial R2, Kleibergen–Paap); (D) Compute local-projection IRFs for h=0..8 (short) and 9..20 (long); (E) Perform mediation analysis estimating mediator equations (churn, deposits, cross-sell, NII/fees) and quantify mediated shares; (F) Ablations: compare results using raw CSAT/NPS vs latent index, IV vs OLS, inclusion vs exclusion of micro-level cohort CLV controls; (G) Heterogeneity: pre-specified subgroups by bank size, baseline satisfaction tercile, and digital penetration; require ≥25 banks per subgroup and ≥8 time periods; (H) Inference: use bootstrap for FE and LP, Bayesian posterior draws for state-space, and AR/CLR intervals if instrument diagnostics indicate weakness.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weakness or invalidity: Bartik-style instrument may have low first-stage strength or violate exclusion if national trends correlate with local shocks. Measurement error and survey selection: non-random survey response and noisy CSAT/NPS can bias estimates; latent indexing reduces but does not eliminate this risk. Unmeasured confounding in mediation: mediator–outcome confounders not captured by FE/time controls can bias channel attribution (causal mediation assumes no unmeasured mediator–outcome confounders). Limited external validity: results from Swedish retail customers may not generalize to other countries or wholesale banking contexts. Small subgroup power: some heterogeneity cells may lack sufficient banks or time periods to estimate credible effects. Model misspecification and dynamic confounding: AR(1) and LP assumptions may not capture higher-order dynamics or feedback from revenue to satisfaction. Computational cost and convergence: Bayesian/state-space estimation at scale can be computationally heavy and may face convergence issues. Privacy and aggregation constraints: privacy rules may force aggregation that reduces identification power.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