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maternal_multidim_mobility_latam</w:t>
      </w:r>
    </w:p>
    <w:p>
      <w:r>
        <w:t xml:space="preserve"> </w:t>
      </w:r>
    </w:p>
    <w:p>
      <w:pPr>
        <w:pStyle w:val="Heading2"/>
      </w:pPr>
      <w:r>
        <w:t>Title</w:t>
      </w:r>
    </w:p>
    <w:p>
      <w:r>
        <w:t>Multidimensional latent-index measurement and quasi-experimental identification of maternal effects on intergenerational education and income mobility in five Latin American countries</w:t>
      </w:r>
    </w:p>
    <w:p>
      <w:r>
        <w:t xml:space="preserve"> </w:t>
      </w:r>
    </w:p>
    <w:p>
      <w:pPr>
        <w:pStyle w:val="Heading2"/>
      </w:pPr>
      <w:r>
        <w:t>Short Hypothesis</w:t>
      </w:r>
    </w:p>
    <w:p>
      <w:r>
        <w:t>An exogenous increase in a mother's latent socioeconomic status (education, occupation prestige, time-use, cultural capital), instrumented by maternal exposure to compulsory-schooling reforms or staggered childcare rollouts, causally raises her child's adult education rank and income rank conditional on paternal status and family fixed effects.</w:t>
      </w:r>
    </w:p>
    <w:p>
      <w:r>
        <w:t xml:space="preserve"> </w:t>
      </w:r>
    </w:p>
    <w:p>
      <w:pPr>
        <w:pStyle w:val="Heading2"/>
      </w:pPr>
      <w:r>
        <w:t>Related Work</w:t>
      </w:r>
    </w:p>
    <w:p>
      <w:r>
        <w:t>Existing work on intergenerational mobility typically uses single proxies (mother's education or father's occupation) or simple composites (PCA/equal weights) to represent family background. Other studies use sibling fixed effects or instruments (compulsory schooling reforms, migration shocks) to estimate causal effects, and some decompose channels into resources versus time inputs. Measurement-focused work applies PCA or single-country IRT/CFA but rarely pre-registers invariance tests across multiple countries and ethnic groups. Major limitations are: (1) reliance on single proxies that miss maternal time-use, health, and cultural capital; (2) weak or untested measurement invariance across countries, producing non-comparable scores; (3) failure to propagate linkage uncertainty when parent-child matches are probabilistic, biasing estimates; (4) sparse mediation analyses that do not handle multiple, latent mediators jointly; and (5) limited integration of qualitative validation to support instrument timing and causal ordering.</w:t>
      </w:r>
    </w:p>
    <w:p>
      <w:r>
        <w:t xml:space="preserve"> </w:t>
      </w:r>
    </w:p>
    <w:p>
      <w:pPr>
        <w:pStyle w:val="Heading2"/>
      </w:pPr>
      <w:r>
        <w:t>Abstract</w:t>
      </w:r>
    </w:p>
    <w:p>
      <w:r>
        <w:t>We study how mothers shape intergenerational mobility in education and income across Brazil, Chile, Ecuador, Mexico, and Panama by combining harmonized parent–child linkages with multidimensional maternal measurement and quasi-experimental identification. Our approach first builds validated latent indices of parental status using graded-response item-response theory (IRT) and multi-group confirmatory factor analysis (CFA) with anchoring vignettes to achieve cross-country comparability; these indices explicitly include maternal time-use, health investments, and cultural capital. We propagate probabilistic linkage uncertainty from Fellegi–Sunter matching through multiple imputed linked datasets. Causal effects of maternal status are estimated with sibling/mother fixed effects augmented by mother-level instruments (compulsory schooling reforms, staggered childcare rollouts, local labor shocks). We recover path-specific effects using sequential g-formula and targeted minimum-loss estimation (TMLE) with latent mediators and quantify channel shares with Shapley decompositions. The main contributions are a measurement-first, reproducible pipeline for maternal indices, credible causal estimates of maternal pathways, and cross-country evidence to guide maternal-focused policy simulations.</w:t>
      </w:r>
    </w:p>
    <w:p>
      <w:r>
        <w:t xml:space="preserve"> </w:t>
      </w:r>
    </w:p>
    <w:p>
      <w:pPr>
        <w:pStyle w:val="Heading2"/>
      </w:pPr>
      <w:r>
        <w:t>Experiments</w:t>
      </w:r>
    </w:p>
    <w:p>
      <w:r>
        <w:t>Datasets: harmonized SEDLAC panel and country household surveys and administrative birth/school records for Brazil, Chile, Ecuador, Mexico, and Panama; municipality/district policy rollout logs (schooling reforms, childcare openings); local labor-market and commodity-price series; migration inflow indicators. Data processing: implement Fellegi–Sunter probabilistic linkage, save match probabilities, generate multiple imputed linked datasets (m = 20) by sampling matches according to weights; combine results via Rubin rules. Measurement: estimate multi-group graded-response IRT (IRT = model for categorical item responses that yields latent trait scores) and alignment-optimized CFA (CFA = model that tests factor structure across groups) to produce maternal and paternal latent indices; compare to PCA composite and equal-weight index. Baselines: (A) mother's education only; (B) father's education only; (C) PCA composite; (D) equal-weights composite; (E) naive single linked dataset without propagated linkage uncertainty. Identification: estimate sibling and mother fixed-effect regressions for child education rank and adult income rank (rank outcomes scaled 0-100). Augment with mother-level IVs: cohort exposure to compulsory schooling reforms (fuzzy IV), district-level staggered childcare rollouts (difference-in-differences/event-study), and local labor-demand or commodity-price shocks (instrument for maternal income/migration). Report first-stage F-statistics and overidentification tests where applicable. Mediation: derive latent mediators from IRT/CFA for resources, time-use, health, noncognitive investments; estimate path-specific effects using sequential g-formula and TMLE (TMLE = estimator that improves bias/variance by targeting the parameter of interest) and embed a latent-SEM for structural interpretation. Evaluation metrics: predictive R-squared for child schooling rank; mean absolute error (MAE) for income rank prediction; intergenerational rank correlation; causal effect sizes with 95% confidence intervals; proportion mediated; Shapley channel shares; first-stage F-stat; sensitivity bounds (VanderWeele bounds) and SIMEX (SIMEX = simulation extrapolation for measurement error). Experimental setup: run all analyses pooled and by-country; cluster standard errors at mother level for sibling-FE and at district level for policy IVs; perform pre-registered placebo checks (lead effects, negative controls), heterogeneity analysis (urban/rural, ethnicity), and ablations: (1) IRT vs PCA vs equal weights; (2) propagated linkage uncertainty vs naive linkage; (3) sibling-FE only vs sibling-FE + IV; (4) mediation with vs without maternal time-use mediators.</w:t>
      </w:r>
    </w:p>
    <w:p>
      <w:r>
        <w:t xml:space="preserve"> </w:t>
      </w:r>
    </w:p>
    <w:p>
      <w:pPr>
        <w:pStyle w:val="Heading2"/>
      </w:pPr>
      <w:r>
        <w:t>Risk Factors And Limitations</w:t>
      </w:r>
    </w:p>
    <w:p>
      <w:r>
        <w:t>Data limitations: incomplete or biased parent–child linkages, low-quality administrative rollout logs, and missing maternal time-use histories. Measurement risks: failure of measurement invariance across countries or ethnic groups, producing non-comparable latent scores. Identification risks: weak instruments (low first-stage F), limited within-mother variation for sibling-FE, and remaining unobserved time-varying maternal confounders (health shocks, caregiving burden) that bias causal estimates. Mediation risks: latent mediator measurement error and mediator–outcome confounding that invalidate path estimates. Computational/scalability: multiple-imputation of linkages (m large), IRT/CFA with many groups, and TMLE/g-formula can be compute-intensive. External validity: heterogeneity across countries and cohorts may limit generalization beyond studied settings. Policy-simulation limits: microsimulation outputs depend on causal parameter stability and on assumed take-up and cost inputs.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