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ecb_climate_eventstudy_banks</w:t>
      </w:r>
    </w:p>
    <w:p>
      <w:r>
        <w:t xml:space="preserve"> </w:t>
      </w:r>
    </w:p>
    <w:p>
      <w:pPr>
        <w:pStyle w:val="Heading2"/>
      </w:pPr>
      <w:r>
        <w:t>Title</w:t>
      </w:r>
    </w:p>
    <w:p>
      <w:r>
        <w:t>Event-study and panel analysis of ECB climate-related announcements and their effects on European banks' stock returns</w:t>
      </w:r>
    </w:p>
    <w:p>
      <w:r>
        <w:t xml:space="preserve"> </w:t>
      </w:r>
    </w:p>
    <w:p>
      <w:pPr>
        <w:pStyle w:val="Heading2"/>
      </w:pPr>
      <w:r>
        <w:t>Short Hypothesis</w:t>
      </w:r>
    </w:p>
    <w:p>
      <w:r>
        <w:t>ECB climate-related announcements cause measurable abnormal stock returns for European banks, with banks having higher hazard-weighted loan exposures experiencing larger negative abnormal returns within intraday ±30-minute windows.</w:t>
      </w:r>
    </w:p>
    <w:p>
      <w:r>
        <w:t xml:space="preserve"> </w:t>
      </w:r>
    </w:p>
    <w:p>
      <w:pPr>
        <w:pStyle w:val="Heading2"/>
      </w:pPr>
      <w:r>
        <w:t>Related Work</w:t>
      </w:r>
    </w:p>
    <w:p>
      <w:r>
        <w:t>Existing work falls into three strands: (1) event studies of central bank announcements that measure immediate market reactions using intraday or daily returns; (2) empirical studies linking firm or bank valuation to climate exposures or transition risk, typically using quarterly exposures and daily returns; and (3) studies using textual analysis to extract policy surprises from central bank communications. Limitations across these approaches include reliance on daily rather than narrow intraday windows (which can blur immediate information effects), coarse exposure measures (country-level or sector-level rather than fine regional loan maps), weak treatment of endogeneity (few use strong instruments or report first-stage diagnostics), and limited combination of market-implied surprises (like ΔOIS) with NLP-based textual surprises. Heterogeneity is often explored with simple splits rather than modern heterogeneous-treatment estimation, and many studies do not translate statistical effects into policy-relevant loss measures (valuation loss relative to CET1).</w:t>
      </w:r>
    </w:p>
    <w:p>
      <w:r>
        <w:t xml:space="preserve"> </w:t>
      </w:r>
    </w:p>
    <w:p>
      <w:pPr>
        <w:pStyle w:val="Heading2"/>
      </w:pPr>
      <w:r>
        <w:t>Abstract</w:t>
      </w:r>
    </w:p>
    <w:p>
      <w:r>
        <w:t>We study how ECB climate-related announcements affect European banks' stock returns. Using a narrow intraday event-study (primary window ±30 minutes) combined with panel Exposure×Shock regressions, we measure immediate abnormal returns and their persistence to 60 trading days. We combine three surprise measures: intraday ΔOIS (change in overnight-index-swap rates), sovereign/corporate yield and repo moves, and a BERT-based textual surprise index (deviation from a six-month topic baseline). Bank exposures are hazard-weighted loan shares at NUTS3 resolution (physical risk) and sectoral carbon intensity (transition risk), carried forward quarterly to daily observations. Identification uses instruments such as distance-weighted fossil-infrastructure exposure and pre-trend loan-share lags; we report first-stage F-statistics and use 2SLS where needed. We add honest causal forests to map heterogeneous effects and report economic translations (basis points per SD → valuation loss → stress loss relative to CET1). The contribution is a unified, high-frequency framework that links ECB climate signaling to bank valuation with causal diagnostics and policy-relevant metrics.</w:t>
      </w:r>
    </w:p>
    <w:p>
      <w:r>
        <w:t xml:space="preserve"> </w:t>
      </w:r>
    </w:p>
    <w:p>
      <w:pPr>
        <w:pStyle w:val="Heading2"/>
      </w:pPr>
      <w:r>
        <w:t>Experiments</w:t>
      </w:r>
    </w:p>
    <w:p>
      <w:r>
        <w:t>Datasets: intraday and daily stock prices, volumes, bid-ask spreads from Refinitiv/Bloomberg; OIS/futures tick data for ΔOIS; sovereign and corporate bond yields and repo spreads; ECB official event timestamps and Reuters/Bloomberg press timing; bank-level balance sheets and loan breakdowns from Orbis/Bankscope and EBA; loan geolocation or register data; Copernicus NUTS3 hazard layers; sector CO2 intensities from MSCI/Trucost; ESG green/brown shares from EBA/ESG vendors. Baselines: (A) standard daily event-study (±1 day) without intraday surprises; (B) intraday event-study using only ΔOIS; (C) intraday event-study using only textual surprise; (D) panel Exposure×Shock OLS without instruments. Main models: intraday market-model abnormal returns (AR) and cumulative abnormal returns (CAR) with estimation window [-120,-21]; panel Exposure_i × Shock_t regressions with bank and time fixed effects; 2SLS IV for exposures with first-stage diagnostics (report F-stat and partial R2); local projections up to 60 trading days for impulse responses; honest causal forest for heterogeneous treatment effects with sample-splitting. Evaluation metrics: mean AR and CAR and t-statistics, p-values, event-window significance, first-stage F-statistics (&gt;10 threshold), IV point estimates and robust CIs, out-of-sample causal-forest RMSE and calibration, SHAP variable importance, economic metrics (bp-per-SD, valuation_loss = (bp_change/10000)*market_cap, stress_loss_ratio = valuation_loss / CET1). Experimental setup: primary intraday window ±30 minutes, sensitivity ±1 hour; daily ±1 and ±5; extended 30/60 trading days; construct composite surprise as weighted sum of standardized ΔOIS, yield/repo jumps, and textual deviation (ablation tests below). Exposure alignment tests: primary quarterly carry-forward, sensitivity linear interpolation and no-interpolation; flag large within-quarter changes. Instruments: distance-weighted fossil-infrastructure exposure, exogenous floodplain indicators, pre-trend loan-share lags; report first-stage statistics and use Anderson–Rubin/weak-IV robust CIs if needed. Ablation and comparisons: (1) drop textual surprise, (2) drop ΔOIS, (3) use only sectoral exposures, (4) carry-forward vs interpolation, (5) parametric IV vs causal forest heterogeneity. Multiple-testing: Romano–Wolf stepdown and Benjamini–Hochberg FDR reported. Power calculation example: assuming intraday return standard deviation 50 basis points (0.5%), to detect a 5-bp effect with 80% power requires ≈784 bank-event observations; to detect 10 bps requires ≈196 observations. Pre-registration: pre-specify primary windows, composite weights, and heterogeneity tests.</w:t>
      </w:r>
    </w:p>
    <w:p>
      <w:r>
        <w:t xml:space="preserve"> </w:t>
      </w:r>
    </w:p>
    <w:p>
      <w:pPr>
        <w:pStyle w:val="Heading2"/>
      </w:pPr>
      <w:r>
        <w:t>Risk Factors And Limitations</w:t>
      </w:r>
    </w:p>
    <w:p>
      <w:r>
        <w:t>Data availability and quality: intraday tick and OIS/futures data may be incomplete or expensive; ECB announcement timestamps may be imprecise, causing measurement error. Exposure measurement error: loan geolocation and sector breakdowns may be missing or aggregated, producing noisy hazard-weighted exposures. Endogeneity and weak instruments: instruments may be weak or invalid, reducing causal power; first-stage F may fall below 10. Statistical power: narrow ±30-minute windows require many events to detect small basis-point effects; small samples limit inference. Multiple testing: many horizons and exposures increase false-positive risk. ML risks: causal forests can overfit if sample-splitting is small and features are noisy; variable importance may mislead without triangulation. Generalization: results apply to European banks and the ECB regime and may not hold for other central banks or non-bank financial firms. Computational cost: processing tick-level data, high-resolution hazard overlays, and causal-forest training requires substantial compute and storage. Policy translation limits: translating bp changes to supervisory losses assumes immediate market-to-book mapping and may not capture downstream credit or liquidity adjustments.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