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eu_funds_tfp_spatial_temporal</w:t>
      </w:r>
    </w:p>
    <w:p>
      <w:r>
        <w:t xml:space="preserve"> </w:t>
      </w:r>
    </w:p>
    <w:p>
      <w:pPr>
        <w:pStyle w:val="Heading2"/>
      </w:pPr>
      <w:r>
        <w:t>Title</w:t>
      </w:r>
    </w:p>
    <w:p>
      <w:r>
        <w:t>Estimating dynamic spatial causal effects of EU cohesion funds on regional total factor productivity growth using regression discontinuity, staggered difference-in-differences, shift-share IVs, and Spatial Durbin models</w:t>
      </w:r>
    </w:p>
    <w:p>
      <w:r>
        <w:t xml:space="preserve"> </w:t>
      </w:r>
    </w:p>
    <w:p>
      <w:pPr>
        <w:pStyle w:val="Heading2"/>
      </w:pPr>
      <w:r>
        <w:t>Short Hypothesis</w:t>
      </w:r>
    </w:p>
    <w:p>
      <w:r>
        <w:t>A sustained increase in EU cohesion fund disbursement intensity causes higher regional total factor productivity (TFP) growth within 0–5 years and larger cumulative gains over 6–15 years, with effect sizes that differ by fund type and regional absorptive capacity.</w:t>
      </w:r>
    </w:p>
    <w:p>
      <w:r>
        <w:t xml:space="preserve"> </w:t>
      </w:r>
    </w:p>
    <w:p>
      <w:pPr>
        <w:pStyle w:val="Heading2"/>
      </w:pPr>
      <w:r>
        <w:t>Related Work</w:t>
      </w:r>
    </w:p>
    <w:p>
      <w:r>
        <w:t>Existing work measures the macro effects of regional transfers and cohesion funds using cross-sectional regressions, difference-in-differences (DiD), regression discontinuity (RD) at eligibility cutoffs, shift-share (Bartik) instruments, and synthetic control methods (SCM). TFP measurement approaches include firm-level production-function proxies (e.g., Levinsohn-Petrin, ACF) and index methods (Malmquist). Spatial econometrics literature uses spatial lag and Spatial Durbin models to estimate spillovers. Limitations remain: allocation endogeneity (funds target poorer regions), negative-weighting and bias in naive staggered DiD, reflection and weak-instrument problems in shift-share designs, manipulation risks near RD cutoffs, sparse firm panels producing noisy TFP aggregates, inconsistent handling of changing NUTS boundaries, and limited integration of dynamic timing with spatial spillovers. Prior studies rarely combine robust RD/modern staggered DiD, leave-one-out shift-share IVs, micro-founded TFP aggregation, and validated spatial-IV strategies in a single framework.</w:t>
      </w:r>
    </w:p>
    <w:p>
      <w:r>
        <w:t xml:space="preserve"> </w:t>
      </w:r>
    </w:p>
    <w:p>
      <w:pPr>
        <w:pStyle w:val="Heading2"/>
      </w:pPr>
      <w:r>
        <w:t>Abstract</w:t>
      </w:r>
    </w:p>
    <w:p>
      <w:r>
        <w:t>We study how European Structural and Investment Funds (ESIFs) affect regional total factor productivity (TFP) over 2000–2019, allowing for time-varying impacts and spatial spillovers. We construct region-year TFP series using firm-level production-function proxies where available and Malmquist/proxy fallbacks where panels are sparse, aggregating to stable NUTS geography. Our identification combines local RD at formal eligibility cutoffs, modern staggered DiD estimators for dynamic average treatment effects, leave-one-out shift-share IVs for national budget shocks, and Spatial Durbin Models (SDM) with spatial-IV variants to recover direct and indirect effects. We report dynamic impulse-response functions for 0–5 and 6–15 year horizons and decompose TFP changes into within-firm, reallocation, and capital-deepening components. Main contributions: an integrated micro-to-regional measurement of TFP, a pre-registered multi-method identification suite, and explicit estimation of spatial diffusion of fund impacts by fund type and absorptive capacity. Expected outcomes are policy-relevant, causally credible estimates of short- and long-run productivity returns to different EU funds and spatial patterns of diffusion.</w:t>
      </w:r>
    </w:p>
    <w:p>
      <w:r>
        <w:t xml:space="preserve"> </w:t>
      </w:r>
    </w:p>
    <w:p>
      <w:pPr>
        <w:pStyle w:val="Heading2"/>
      </w:pPr>
      <w:r>
        <w:t>Experiments</w:t>
      </w:r>
    </w:p>
    <w:p>
      <w:r>
        <w:t>Datasets: (1) EU project-level disbursements (ERDF, ESF, Cohesion Fund, EAFRD) 2000–2019 with project metadata and geocodes; (2) firm-level panels (ORBIS and national registries) for production-function estimation; (3) Eurostat NUTS2/NUTS3 regional accounts, input-output tables, employment and education shares; (4) commuting and trade flow matrices; (5) program rules and eligibility cutoffs. Baselines: (A) OLS region-year regressions of TFP on fund intensity; (B) naive two-way fixed effects DiD; (C) RD local-linear at cutoffs; (D) staggered DiD with Sun &amp; Abraham / Callaway &amp; Sant’Anna; (E) shift-share IV (Bartik) without leave-one-out. Primary methods: RD (CCT bias-corrected local linear), staggered DiD (modern estimators), leave-one-out Bartik IV with AKM variance corrections, SDM (direct/indirect effects) and spatial-IV using spatially lagged instruments. Preprocessing: compute firm-level LP/ACF TFP, aggregate to NUTS3 by value-added shares; produce Malmquist/proxy-MFP as fallback. Evaluation metrics: dynamic impulse-response functions (IRFs) with 95% CIs, cumulative treatment effects at 0–5 and 6–15 years, elasticities per 1% change in fund intensity, first-stage partial R2 and F-statistics (&gt;10 target), McCrary density test p-values, pre-trend joint-test p-values, placebo-region p-values, and robustness delta (percent change) across specifications. Ablations and comparisons: (1) LP/ACF vs Malmquist TFP inputs; (2) SDM vs non-spatial models; (3) shift-share with vs without leave-one-out; (4) instrumented spatial lags vs OLS spatial lags; (5) analyses restricted to high-confidence geocoded projects vs full sample; (6) bandwidth sensitivity at 0.5×, 1×, 2× optimal and IK selector for RD. Reported outputs: estimates, standard errors, first-stage diagnostics, balance tests, placebo tests, maps of effects with uncertainty, and decomposition results with bootstrap CIs.</w:t>
      </w:r>
    </w:p>
    <w:p>
      <w:r>
        <w:t xml:space="preserve"> </w:t>
      </w:r>
    </w:p>
    <w:p>
      <w:pPr>
        <w:pStyle w:val="Heading2"/>
      </w:pPr>
      <w:r>
        <w:t>Risk Factors And Limitations</w:t>
      </w:r>
    </w:p>
    <w:p>
      <w:r>
        <w:t>Endogeneity of fund allocation: assignments correlate with unobserved shocks, biasing OLS and naive DiD. RD risk: manipulation of running variables or coincident policies near cutoffs. Shift-share IV risk: weak instruments, reflection (own-region shock influence), and invalid exclusion if national shocks correlate with local trends. Sparse firm panels: inadequate firm coverage yields noisy TFP and biased aggregates. Geocoding and NUTS concordance errors: misassigned projects create exposure measurement error. Changing NUTS boundaries complicate panel stability. Spatial model misspecification: wrong weight matrix or omitted network channels lead to biased spillover estimates. Computational scale: firm-level LP/ACF across thousands of firms and many specifications demands high memory and CPU. External validity: results apply to EU NUTS regions 2000–2019 and may not generalize to other periods or non-EU contexts. Multiple testing and heterogeneity exploration can increase false positives if uncorrected.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