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capacitated_reliable_rf</w:t>
      </w:r>
    </w:p>
    <w:p>
      <w:r>
        <w:t xml:space="preserve"> </w:t>
      </w:r>
    </w:p>
    <w:p>
      <w:pPr>
        <w:pStyle w:val="Heading2"/>
      </w:pPr>
      <w:r>
        <w:t>Title</w:t>
      </w:r>
    </w:p>
    <w:p>
      <w:r>
        <w:t>A Lagrangian-guided relax-and-fix heuristic with integrated min-cut Benders and linearized formulations for capacitated reliable fixed-charge facility location</w:t>
      </w:r>
    </w:p>
    <w:p>
      <w:r>
        <w:t xml:space="preserve"> </w:t>
      </w:r>
    </w:p>
    <w:p>
      <w:pPr>
        <w:pStyle w:val="Heading2"/>
      </w:pPr>
      <w:r>
        <w:t>Short Hypothesis</w:t>
      </w:r>
    </w:p>
    <w:p>
      <w:r>
        <w:t>A Lagrangian-guided layered relax-and-fix heuristic that integrates multi-facility cover, flow-cover (knapsack-like capacity cuts), and min-cut Benders feasibility cuts will reduce median Conditional Value-at-Risk (CVaR) of unmet demand by at least 5% compared to a compact scenario MIP baseline on medium instances while increasing time-to-best primal by no more than 2× under fixed solver budgets.</w:t>
      </w:r>
    </w:p>
    <w:p>
      <w:r>
        <w:t xml:space="preserve"> </w:t>
      </w:r>
    </w:p>
    <w:p>
      <w:pPr>
        <w:pStyle w:val="Heading2"/>
      </w:pPr>
      <w:r>
        <w:t>Related Work</w:t>
      </w:r>
    </w:p>
    <w:p>
      <w:r>
        <w:t>Existing work on facility location under uncertainty includes: compact scenario-based mixed-integer programs (MIPs) that model every disruption scenario explicitly, two-stage Benders decompositions that separate facility (first-stage) and recourse (second-stage) decisions, chance-constrained formulations that bound violation probability, CVaR-based risk formulations that control tail losses, relax-and-fix heuristics that fix subsets of variables sequentially, and cutting-plane families such as knapsack-cover, flow-cover, and Benders feasibility cuts. Limitations: compact scenario MIPs scale poorly with many scenarios and facilities; LP relaxations of compact MIPs are often weak (leading to large integrality gaps); chance constraints can be hard to solve and may miss tail risk structure; standard relax-and-fix methods rarely integrate strong, scenario-driven cuts, reducing feasibility and robustness under correlated failures; scenario reduction methods often discard tail events and therefore can understate CVaR. Open issues are tight, scalable formulations for site-dependent failure probabilities, principled integration of tail-preserving scenario reduction, and practical cut-generation inside relax-and-fix.</w:t>
      </w:r>
    </w:p>
    <w:p>
      <w:r>
        <w:t xml:space="preserve"> </w:t>
      </w:r>
    </w:p>
    <w:p>
      <w:pPr>
        <w:pStyle w:val="Heading2"/>
      </w:pPr>
      <w:r>
        <w:t>Abstract</w:t>
      </w:r>
    </w:p>
    <w:p>
      <w:r>
        <w:t>We address the capacitated reliable fixed-charge facility location problem with site-dependent facility failure probabilities and optional capacity expansion under disruptions. The problem combines binary facility-opening decisions with capacity assignment that must be robust to correlated failures; it is NP-hard and produces weak LP relaxations when modeled naively. We propose a pipeline combining (1) a non-linear mixed-integer model and a linearized MIP variant, (2) a Lagrangian-guided layered relax-and-fix (R&amp;F) heuristic that fixes facility decisions in ordered blocks, and (3) integrated cutting-plane families: multi-facility cover, flow-cover (capacity-based knapsack cuts), and min-cut Benders feasibility cuts. The main contribution is the algorithmic integration of Lagrangian dual scores and reliability-driven block ordering with scenario-informed cuts to improve early primal quality and tail robustness (CVaR of unmet demand). We expect the method to yield measurable CVaR reductions and tighter early bounds compared to compact and standard Benders baselines, enabling scalable, reproducible experiments on annotated instance suites for operational decision support.</w:t>
      </w:r>
    </w:p>
    <w:p>
      <w:r>
        <w:t xml:space="preserve"> </w:t>
      </w:r>
    </w:p>
    <w:p>
      <w:pPr>
        <w:pStyle w:val="Heading2"/>
      </w:pPr>
      <w:r>
        <w:t>Experiments</w:t>
      </w:r>
    </w:p>
    <w:p>
      <w:r>
        <w:t>Datasets: 10 annotated instances (3 small, 4 medium, 3 large) with GIS-based distances, facility fixed costs f_j, capacities C_j, demands d_i, and correlated disruption scenarios generated by a Gaussian copula with region clusters; each instance includes 200–1000 training scenarios and a held-out stress set of 200 scenarios. Baselines: (A) compact scenario MIP, (B) aggregated survivability cover formulation, (C) two-stage Benders decomposition without R&amp;F, (D) layered R&amp;F without cuts. Proposed method: Lagrangian-guided layered R&amp;F with integrated multi-facility cover, flow-cover with lifting, and min-cut Benders cuts. Metrics: primal objective, LP relaxation bound, integrality gap (relative), time-to-best primal, per-run wall-clock, CVaR_α (α=0.95) of unmet demand (CVaR = average worst 5% shortfall), unmet-demand quantiles, cut effectiveness measured as LP-gap-closure per second, and solver memory usage. Experimental setup: Dockerized environment with fixed solver (Gurobi or CPLEX) versions, fixed random seeds, Threads=8, time limit per run 2 hours for medium/large, repeated runs with 10 seeds per instance. Protocols: full-factorial runs across model variants × cut sets × R&amp;F block schemes (coarse K∈{3,5} and fine blocks total∈{12,16,20}). Ablation: remove each cut family in turn (multi-facility cover, flow-cover, min-cut Benders) to measure marginal LP-gap-closure/sec and change in CVaR. Statistical analysis: paired Wilcoxon signed-rank tests on matched instance-seed runs to test median CVaR and time-to-best differences, report medians, IQR, and p-values. Success criteria: median CVaR improvement ≥5% and time-to-best ≤2× baseline on medium instances.</w:t>
      </w:r>
    </w:p>
    <w:p>
      <w:r>
        <w:t xml:space="preserve"> </w:t>
      </w:r>
    </w:p>
    <w:p>
      <w:pPr>
        <w:pStyle w:val="Heading2"/>
      </w:pPr>
      <w:r>
        <w:t>Risk Factors And Limitations</w:t>
      </w:r>
    </w:p>
    <w:p>
      <w:r>
        <w:t>Technical failure modes: poor block ordering may lead to infeasible or low-quality early solutions and R&amp;F stagnation; exact separation for flow-cover is NP-hard, so heuristics may miss strong cuts. Data and evaluation biases: synthetic correlated scenarios may not capture all real hazard patterns, and scenario-reduction may underrepresent rare but high-impact tail events. Scalability: solving many scenarios or very large instances (N&gt;200, M&gt;500) may exceed memory or time budgets; pybind11-wrapped max-flow hotspots may still be a bottleneck under extreme scale. Generalization limits: performance gains observed on the provided instance suite may not transfer to domains with very different cost structures, non-stationary demand, or adversarial failure correlations. Measurement noise: solver nondeterminism, tuning sensitivity, and dependence on solver heuristics can inflate variance in time-to-best and gap metrics.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