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true_pricing_labeling_rct</w:t>
      </w:r>
    </w:p>
    <w:p>
      <w:r>
        <w:t xml:space="preserve"> </w:t>
      </w:r>
    </w:p>
    <w:p>
      <w:pPr>
        <w:pStyle w:val="Heading2"/>
      </w:pPr>
      <w:r>
        <w:t>Title</w:t>
      </w:r>
    </w:p>
    <w:p>
      <w:r>
        <w:t>A factorial randomized controlled trial to evaluate how true-price label formats affect consumer food choices</w:t>
      </w:r>
    </w:p>
    <w:p>
      <w:r>
        <w:t xml:space="preserve"> </w:t>
      </w:r>
    </w:p>
    <w:p>
      <w:pPr>
        <w:pStyle w:val="Heading2"/>
      </w:pPr>
      <w:r>
        <w:t>Short Hypothesis</w:t>
      </w:r>
    </w:p>
    <w:p>
      <w:r>
        <w:t>Displaying an absolute-dollar true-price surcharge at point-of-sale causes a larger decrease in purchases of high-true-cost food items than presenting percent-format information or no true-price information, with a larger effect among lower-income and price-sensitive consumers.</w:t>
      </w:r>
    </w:p>
    <w:p>
      <w:r>
        <w:t xml:space="preserve"> </w:t>
      </w:r>
    </w:p>
    <w:p>
      <w:pPr>
        <w:pStyle w:val="Heading2"/>
      </w:pPr>
      <w:r>
        <w:t>Related Work</w:t>
      </w:r>
    </w:p>
    <w:p>
      <w:r>
        <w:t>Existing work has tested environmental labels, carbon labels, and price framing (surcharges vs discounts) using lab experiments, online surveys, or single-site field pilots. Prior studies show that explicit monetary signals can be more salient than percentage or qualitative labels, and that framing (loss vs gain) and defaults influence choice. Limitations of current approaches include: small sample sizes or non-representative panels, lack of stratified heterogeneous treatment effect (HTE) estimation across income and price-sensitivity, weak integration of life-cycle assessment (LCA) uncertainty into causal inference, limited measurement of full-basket substitution (leakage), sparse use of encouragement/IV designs to handle noncompliance, and poor external validity across retail channels (online grocer vs physical cafeteria). Many prior studies also omit provenance and verification signals and do not pre-register complex factorial matrices with welfare and regressivity metrics.</w:t>
      </w:r>
    </w:p>
    <w:p>
      <w:r>
        <w:t xml:space="preserve"> </w:t>
      </w:r>
    </w:p>
    <w:p>
      <w:pPr>
        <w:pStyle w:val="Heading2"/>
      </w:pPr>
      <w:r>
        <w:t>Abstract</w:t>
      </w:r>
    </w:p>
    <w:p>
      <w:r>
        <w:t>We study how different consumer-facing presentations of "true prices"—retail prices adjusted to internalize external environmental costs—affect food purchasing decisions. We propose a pre-registered, factorial randomized controlled trial that varies label format (absolute-dollar surcharge, percent increase, tangible-action equivalent), framing (surcharge, discount, hybrid), default/sort rules, uncertainty/provenance displays, and revenue-recycling mechanisms. Primary outcomes are product choice shares, basket-level carbon footprint (CO2e), and expenditure. Key contributions are: (1) a large-scale, stratified experimental design that estimates average and heterogeneous treatment effects (HTE) by income decile, measured price-sensitivity, and environmental value; (2) integration of Monte Carlo LCA uncertainty and provenance metadata into causal models so estimated effects reflect footprint variance; and (3) structural demand estimation (mixed logit) to quantify cross-category substitution and welfare consequences under alternative gamma ($/tCO2e) and cap rules. Expected outcomes are actionable evidence on label formats and policy-relevant gamma/cap settings that balance emission reductions with equity.</w:t>
      </w:r>
    </w:p>
    <w:p>
      <w:r>
        <w:t xml:space="preserve"> </w:t>
      </w:r>
    </w:p>
    <w:p>
      <w:pPr>
        <w:pStyle w:val="Heading2"/>
      </w:pPr>
      <w:r>
        <w:t>Experiments</w:t>
      </w:r>
    </w:p>
    <w:p>
      <w:r>
        <w:t>Datasets: (1) Online consumer survey experiment (n ≈ 1,400) in Netherlands and Denmark for initial validation; (2) Online grocer transaction and clickstream dataset (individual-randomized users); (3) Cafeteria cluster transactions (cluster-randomized by site/time). Baselines: no-information label (control), percent-format label, tangible-action label. Treatment factors: label format (absolute-dollar, percent, tangible-action), framing (surcharge, discount, hybrid), default/sort (low-true-cost-first, recommended badge, personalized sort), uncertainty/provenance UI (Minimal, Contextual, Full), revenue-recycling (none, universal credit, targeted rebate). Sample targets: online grocer 8,000–12,000 users per arm; cafeteria ~30 clusters per arm with ~100 purchases/cluster; finalize via power simulations (ICC 0.01–0.05, attrition 10–20%, noncompliance scenarios). Randomization: stratify and block by income decile, measured price-sensitivity, environmental-value segment, and partner. Identification: pre-register ATE (average treatment effect), CACE (complier average causal effect) using randomized encouragement arms as instrument, and CATEs (conditional ATEs) by strata. Models and metrics: hierarchical Bayesian multi-level models (partial pooling; a statistical method that shares strength across groups) to estimate ATE/CATE with posterior intervals; mixed logit (random-coefficient choice model that captures heterogeneous preferences) with nesting by category to recover substitution matrices; treat LCA-to-price signals as Monte Carlo draws (many simulated footprint samples) and marginalize them in the likelihood so treatment uncertainty includes footprint variance. Evaluation metrics: low-true-cost product share change (% points), basket CO2e change (kg CO2e), expenditure change ($), comprehension score (quiz, 0–3), perceived fairness (Likert), decision time (seconds), complaint/opt-out rate, first-stage strength (F-statistic), and welfare metrics: compensating variation (money measure of utility change), externality reduction monetized by gamma, regressivity measures (expenditure % of income by decile, Gini change). Ablations: remove uncertainty display (Minimal vs Full), remove revenue recycling, and test each default separately. Pre-registration and checks: publish matrix, stopping rules, balance tests, first-stage strength, attrition analysis, falsification tests, and reproducible code/data pipeline (containerized).</w:t>
      </w:r>
    </w:p>
    <w:p>
      <w:r>
        <w:t xml:space="preserve"> </w:t>
      </w:r>
    </w:p>
    <w:p>
      <w:pPr>
        <w:pStyle w:val="Heading2"/>
      </w:pPr>
      <w:r>
        <w:t>Risk Factors And Limitations</w:t>
      </w:r>
    </w:p>
    <w:p>
      <w:r>
        <w:t>Weak first-stage (encouragement failing to change exposure) causing weak IV estimates; effect sizes below detectable thresholds leading to inconclusive results; measurement error in LCA inputs or missing provenance reducing credibility; Monte Carlo computational cost (many simulations) increasing latency and complexity; sample selection bias in partner user bases limiting generalization; cross-site heterogeneity (online vs cafeteria friction) reducing transportability; security, privacy, or antitrust legal constraints blocking certain label or price framings in some jurisdictions; consumer reactance/backlash to explicit surcharges causing unexpected complaints or opt-outs that bias estimates; difficulty recovering substitution matrices if category-level variation is limited; limits to scaling third-party verification and maintaining timely API versioning; and potential cultural or language effects on comprehension that reduce external validity outside tested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