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markup_decomposition_airlines</w:t>
      </w:r>
    </w:p>
    <w:p>
      <w:r>
        <w:t xml:space="preserve"> </w:t>
      </w:r>
    </w:p>
    <w:p>
      <w:pPr>
        <w:pStyle w:val="Heading2"/>
      </w:pPr>
      <w:r>
        <w:t>Title</w:t>
      </w:r>
    </w:p>
    <w:p>
      <w:r>
        <w:t>Decomposing airline markups into substitution and network internalization using a quasi-dynamic multiproduct BLP</w:t>
      </w:r>
    </w:p>
    <w:p>
      <w:r>
        <w:t xml:space="preserve"> </w:t>
      </w:r>
    </w:p>
    <w:p>
      <w:pPr>
        <w:pStyle w:val="Heading2"/>
      </w:pPr>
      <w:r>
        <w:t>Short Hypothesis</w:t>
      </w:r>
    </w:p>
    <w:p>
      <w:r>
        <w:t>Exogenous increases in product differentiation (lower substitution, higher S_j,t) causally raise product-level markups, and exogenous increases in intra-firm network internalization (larger off-diagonal Ω entries) causally raise markups conditional on product differentiation.</w:t>
      </w:r>
    </w:p>
    <w:p>
      <w:r>
        <w:t xml:space="preserve"> </w:t>
      </w:r>
    </w:p>
    <w:p>
      <w:pPr>
        <w:pStyle w:val="Heading2"/>
      </w:pPr>
      <w:r>
        <w:t>Related Work</w:t>
      </w:r>
    </w:p>
    <w:p>
      <w:r>
        <w:t>Existing work recovers markups using multiproduct pricing FOCs and estimates demand with random-coefficient discrete-choice models (BLP). Prior markup-decomposition methods either ignore product differentiation or treat differentiation and network effects implicitly, limiting causal interpretation. Studies that model network structure typically use reduced-form network metrics or simple ownership indicators rather than embedding a normalized ownership/internalization matrix Ω in the first-order conditions. Instrumental-variable approaches have used fuel shocks, mergers, and schedule changes but face weaknesses: weak instruments, limited placebo testing, and difficulty separating schedule-driven differentiation from demand shocks. Measurement of substitution via cross-price elasticities is noisy in short samples and often not propagated into markup uncertainty. Dynamic or quasi-dynamic demand features (time-of-day, slots, capacity states) are rarely integrated with Ω construction, leaving unresolved how network internalization and differentiation jointly drive markups over time.</w:t>
      </w:r>
    </w:p>
    <w:p>
      <w:r>
        <w:t xml:space="preserve"> </w:t>
      </w:r>
    </w:p>
    <w:p>
      <w:pPr>
        <w:pStyle w:val="Heading2"/>
      </w:pPr>
      <w:r>
        <w:t>Abstract</w:t>
      </w:r>
    </w:p>
    <w:p>
      <w:r>
        <w:t>This project develops a transparent structural framework to decompose product-level markups in U.S. airline markets into two causal channels: substitution-driven differentiation and intra-firm network internalization. We estimate a quasi-dynamic multiproduct BLP demand system (a random-coefficient discrete-choice model that allows product mixes and states to evolve) and recover markups from the multiproduct Bertrand first-order conditions p - mc = - (Ω ⊙ Δ)^{-1} s, where Ω is an ownership/internalization matrix and Δ is the demand price-derivative matrix. We construct a substitution index S_j,t from rolling BLP cross-price elasticity draws, denoise it with hierarchical shrinkage, and build alternative Ω specifications (baseline diag=1, feeder-dominant, centrality-dominant). Applied to a two-decade panel of U.S. carriers, the method yields causal estimates of how changes in frequency, schedule, and network connectivity affect markups and consumer surplus. Expected outputs include decomposition results with uncertainty bands and policy-relevant counterfactuals for mergers and slot policies.</w:t>
      </w:r>
    </w:p>
    <w:p>
      <w:r>
        <w:t xml:space="preserve"> </w:t>
      </w:r>
    </w:p>
    <w:p>
      <w:pPr>
        <w:pStyle w:val="Heading2"/>
      </w:pPr>
      <w:r>
        <w:t>Experiments</w:t>
      </w:r>
    </w:p>
    <w:p>
      <w:r>
        <w:t>Datasets: DOT DB1B and itinerary extracts (fares and shares), T-100 capacity and aircraft data, BTS On-Time Performance, ATPCO fare-class snapshots where available, slot allocation and divestiture logs, documented merger/remedy dates, weather/ATC disruption records, and fuel-price series; sample: 20 U.S. carriers over 2000–2019 at carrier × O&amp;D × time-of-day × date granularity. Baselines: (A) static single-product markup recovery ignoring differentiation, (B) BLP demand with Ω set to identity (no internalization), (C) nested logit demand with observed product attributes, (D) quasi-dynamic BLP with neutral Ω_0 (zero off-diagonals). Proposed model: quasi-dynamic random-coefficient BLP + Ω-based FOC recovery with three Ω specs (baseline, feeder-dominant, centrality-dominant). Instruments: slot trades/divestitures and mandated slot freezes, staggered merger remedies, short-run weather/ATC shocks for product-characteristics; fuel-price innovations only as cost shifters. Evaluation metrics: first-stage F-statistics (require &gt;10), Hansen overidentification p-values, out-of-sample RMSE of price and market-share prediction, explained variance of markup decomposition, average and distributional markup deltas, route-level log-sum consumer-surplus changes, CI coverage rates for bootstrap/posterior intervals, placebo rejection rates. Experimental setup: build immutable panel with event tags; estimate rolling-window BLPs with 12-month windows and monthly steps; draw 500 posterior/bootstrap samples per window to produce E_{jk,t} draws; construct S_j,t from each draw, apply hierarchical shrinkage, and propagate draws through markup recovery and IV regressions; compute cluster-bootstrapped SEs by market. Ablations and comparisons: (1) drop Ω off-diagonals (Ω_0) to quantify network internalization; (2) omit S_j,t (use only characteristic-space distance) to test substitution measurement value; (3) vary Ω normalization (row-sum scaling, fixed-scale, Bayesian shrinkage) and report sensitivity; (4) compare quasi-dynamic BLP to nested logit and to a targeted fully dynamic discrete-choice (DDC) for selected markets. Cross-validation: choose (α,β,γ) weighting for Ω by minimizing out-of-sample price RMSE via rolling holdouts. Placebo suite: unaffected-market placebos, pre-trend leads, and permutation of event timing.</w:t>
      </w:r>
    </w:p>
    <w:p>
      <w:r>
        <w:t xml:space="preserve"> </w:t>
      </w:r>
    </w:p>
    <w:p>
      <w:pPr>
        <w:pStyle w:val="Heading2"/>
      </w:pPr>
      <w:r>
        <w:t>Risk Factors And Limitations</w:t>
      </w:r>
    </w:p>
    <w:p>
      <w:r>
        <w:t>Weak or invalid instruments: slot/merger events may be anticipated or correlated with demand trends, producing biased IV estimates. Noisy elasticity estimates: cross-price elasticities from short windows can have large variance, making S_j,t imprecise and propagating uncertainty to markups. Ω mis-specification: arbitrary weighting or normalization of off-diagonals can change decomposition results and reduce interpretability. Data gaps and imputation bias: missing fare-class, codeshare, or slot-trade records can bias product definitions. Computational scale: rolling BLP estimation with posterior draws over many windows is time- and memory-intensive and may limit resolution (fewer carriers, coarser TOD). Generalization limits: results may not transfer outside U.S. airline networks or to low-density markets. CI coverage: bootstrap versus posterior intervals may differ in finite samples, harming inference. Operational confounders: codeshares, loyalty programs, and ancillary bundles complicate mapping consumer-facing products to operator profit exposure and can bias Ω if not flagged precisely.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